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CAAD0" w14:textId="77777777" w:rsidR="00C33D04" w:rsidRPr="003D3A33" w:rsidRDefault="00C33D04">
      <w:pPr>
        <w:pStyle w:val="Titel"/>
      </w:pPr>
    </w:p>
    <w:p w14:paraId="4611DDE1" w14:textId="39C92528" w:rsidR="00C33D04" w:rsidRPr="003D3A33" w:rsidRDefault="00BA1A3C">
      <w:pPr>
        <w:pStyle w:val="Titel"/>
        <w:bidi w:val="0"/>
      </w:pPr>
      <w:r>
        <w:rPr>
          <w:lang w:val="fr-be"/>
          <w:b w:val="1"/>
          <w:bCs w:val="1"/>
          <w:i w:val="0"/>
          <w:iCs w:val="0"/>
          <w:u w:val="none"/>
          <w:vertAlign w:val="baseline"/>
          <w:rtl w:val="0"/>
        </w:rPr>
        <w:t xml:space="preserve">Descriptif du cahier des charges SlimWall 35</w:t>
      </w:r>
    </w:p>
    <w:p w14:paraId="7D5E3EF1" w14:textId="77777777" w:rsidR="00C33D04" w:rsidRPr="003D3A33" w:rsidRDefault="00C33D04">
      <w:pPr>
        <w:pStyle w:val="BodyReynaers"/>
        <w:tabs>
          <w:tab w:val="left" w:pos="5812"/>
        </w:tabs>
        <w:rPr>
          <w:b/>
          <w:bCs/>
          <w:sz w:val="28"/>
          <w:szCs w:val="28"/>
        </w:rPr>
      </w:pPr>
    </w:p>
    <w:p w14:paraId="23A19572" w14:textId="77777777" w:rsidR="00C33D04" w:rsidRPr="003D3A33" w:rsidRDefault="006F46D9" w:rsidP="00264A46">
      <w:pPr>
        <w:pStyle w:val="HeadReynaers"/>
        <w:numPr>
          <w:ilvl w:val="0"/>
          <w:numId w:val="1"/>
        </w:numPr>
        <w:bidi w:val="0"/>
      </w:pPr>
      <w:r>
        <w:rPr>
          <w:lang w:val="fr-be"/>
          <w:b w:val="1"/>
          <w:bCs w:val="1"/>
          <w:i w:val="0"/>
          <w:iCs w:val="0"/>
          <w:u w:val="none"/>
          <w:vertAlign w:val="baseline"/>
          <w:rtl w:val="0"/>
        </w:rPr>
        <w:t xml:space="preserve">Système</w:t>
      </w:r>
    </w:p>
    <w:p w14:paraId="08EEED7D" w14:textId="77777777" w:rsidR="00C33D04" w:rsidRPr="003D3A33" w:rsidRDefault="00C33D04">
      <w:pPr>
        <w:pStyle w:val="BodyReynaers"/>
      </w:pPr>
    </w:p>
    <w:p w14:paraId="51B83445" w14:textId="0DE5E7D8" w:rsidR="00404220" w:rsidRPr="003D3A33" w:rsidRDefault="00404220" w:rsidP="00404220">
      <w:pPr>
        <w:pStyle w:val="BodyReynaers"/>
        <w:jc w:val="both"/>
        <w:bidi w:val="0"/>
      </w:pPr>
      <w:r>
        <w:rPr>
          <w:lang w:val="fr-be"/>
          <w:b w:val="0"/>
          <w:bCs w:val="0"/>
          <w:i w:val="0"/>
          <w:iCs w:val="0"/>
          <w:u w:val="none"/>
          <w:vertAlign w:val="baseline"/>
          <w:rtl w:val="0"/>
        </w:rPr>
        <w:t xml:space="preserve">Le système de murs-rideaux présente une largeur visible de 35 mm. La structure porteuse est toujours située à l’intérieur du mur-rideau et se compose de caissons verticaux et horizontaux autoportants avec une profondeur de profilé en fonction de la portée. Les montants et les traverses ont une profondeur de 89 mm à 194 mm et sont choisis en fonction de la portée. Le vitrage et/ou les panneaux de remplissage sont fixés à l’aide de clames et de vis en aluminium (tous les 300 mm). L’ensemble est complété par des pièces de fixation en aluminium qui se clipsent sur les clames (différents modèles et profondeurs disponibles).</w:t>
      </w:r>
    </w:p>
    <w:p w14:paraId="5ABA97AE" w14:textId="74A341E0" w:rsidR="00404220" w:rsidRPr="003D3A33" w:rsidRDefault="00404220" w:rsidP="00404220">
      <w:pPr>
        <w:pStyle w:val="BodyReynaers"/>
        <w:tabs>
          <w:tab w:val="left" w:pos="5812"/>
        </w:tabs>
        <w:jc w:val="both"/>
        <w:rPr>
          <w:bCs/>
        </w:rPr>
        <w:bidi w:val="0"/>
      </w:pPr>
      <w:r>
        <w:rPr>
          <w:lang w:val="fr-be"/>
          <w:b w:val="0"/>
          <w:bCs w:val="0"/>
          <w:i w:val="0"/>
          <w:iCs w:val="0"/>
          <w:u w:val="none"/>
          <w:vertAlign w:val="baseline"/>
          <w:rtl w:val="0"/>
        </w:rPr>
        <w:t xml:space="preserve">Les traverses sont fixées aux montants en se chevauchant au moyen de 2 vis dans une ouverture ovale afin que la dilatation de la traverse soit toujours possible. Les vis de fixation sont placées sous le joint. Une manchette est placée entre la traverse et le montant pour garantir l’étanchéité. Sur la face visible, une manchette est également placée entre les profilés tubulaires pour assurer la dilatation. Les supports du vitrage sont glissés dans les profilés de traverse et fixés à l’aide de 2 blocs de positionnement. Après la pose du vitrage, un joint d’isolation auto-adhésif est placé et collé sur les bords du vitrage. Ce joint contribue à la valeur d’isolation et à l’étanchéité du système. Le poids maximal du vitrage est de 450 kg.</w:t>
      </w:r>
    </w:p>
    <w:p w14:paraId="1EC8FECE" w14:textId="5BED9D02" w:rsidR="00FD764E" w:rsidRPr="003D3A33" w:rsidRDefault="00DC24F5" w:rsidP="00404220">
      <w:pPr>
        <w:pStyle w:val="BodyReynaers"/>
        <w:tabs>
          <w:tab w:val="left" w:pos="5812"/>
        </w:tabs>
        <w:jc w:val="both"/>
        <w:rPr>
          <w:bCs/>
        </w:rPr>
        <w:bidi w:val="0"/>
      </w:pPr>
      <w:r>
        <w:rPr>
          <w:lang w:val="fr-be"/>
          <w:b w:val="0"/>
          <w:bCs w:val="0"/>
          <w:i w:val="0"/>
          <w:iCs w:val="0"/>
          <w:u w:val="none"/>
          <w:vertAlign w:val="baseline"/>
          <w:rtl w:val="0"/>
        </w:rPr>
        <w:t xml:space="preserve">Pour la variante RC 2, la clame est vissée tous les 150 mm.</w:t>
      </w:r>
    </w:p>
    <w:p w14:paraId="5DE1C003" w14:textId="77777777" w:rsidR="00307897" w:rsidRPr="003D3A33" w:rsidRDefault="00307897" w:rsidP="00404220">
      <w:pPr>
        <w:pStyle w:val="BodyReynaers"/>
        <w:tabs>
          <w:tab w:val="left" w:pos="5812"/>
        </w:tabs>
        <w:jc w:val="both"/>
        <w:rPr>
          <w:bCs/>
        </w:rPr>
      </w:pPr>
    </w:p>
    <w:p w14:paraId="4359DC0E" w14:textId="77777777" w:rsidR="00404220" w:rsidRPr="003D3A33" w:rsidRDefault="00404220" w:rsidP="00404220">
      <w:pPr>
        <w:pStyle w:val="BodyReynaers"/>
        <w:tabs>
          <w:tab w:val="left" w:pos="5812"/>
        </w:tabs>
        <w:jc w:val="both"/>
        <w:rPr>
          <w:bCs/>
        </w:rPr>
        <w:bidi w:val="0"/>
      </w:pPr>
      <w:r>
        <w:rPr>
          <w:lang w:val="fr-be"/>
          <w:b w:val="0"/>
          <w:bCs w:val="0"/>
          <w:i w:val="0"/>
          <w:iCs w:val="0"/>
          <w:u w:val="none"/>
          <w:vertAlign w:val="baseline"/>
          <w:rtl w:val="0"/>
        </w:rPr>
        <w:t xml:space="preserve">Les performances du système doivent être démontrées par divers certificats et rapports d’essai, dont un aperçu est donné ci-dessous :</w:t>
      </w:r>
    </w:p>
    <w:p w14:paraId="50964271" w14:textId="77777777" w:rsidR="00D8466D" w:rsidRPr="003D3A33" w:rsidRDefault="00D8466D" w:rsidP="00404220">
      <w:pPr>
        <w:pStyle w:val="BodyReynaers"/>
        <w:tabs>
          <w:tab w:val="left" w:pos="5812"/>
        </w:tabs>
        <w:jc w:val="both"/>
        <w:rPr>
          <w:bCs/>
        </w:rPr>
      </w:pPr>
    </w:p>
    <w:p w14:paraId="7F43C275" w14:textId="77777777" w:rsidR="00D8466D" w:rsidRPr="003D3A33" w:rsidRDefault="00D8466D" w:rsidP="00264A46">
      <w:pPr>
        <w:pStyle w:val="BodyinsprongReynaers"/>
        <w:numPr>
          <w:ilvl w:val="0"/>
          <w:numId w:val="2"/>
        </w:numPr>
        <w:ind w:left="284" w:hanging="284"/>
        <w:jc w:val="both"/>
        <w:bidi w:val="0"/>
      </w:pPr>
      <w:r>
        <w:rPr>
          <w:lang w:val="fr-be"/>
          <w:b w:val="0"/>
          <w:bCs w:val="0"/>
          <w:i w:val="0"/>
          <w:iCs w:val="0"/>
          <w:u w:val="none"/>
          <w:vertAlign w:val="baseline"/>
          <w:rtl w:val="0"/>
        </w:rPr>
        <w:t xml:space="preserve">Un certificat ISO 9001 du fournisseur de système (qualité de la conception à la livraison).</w:t>
      </w:r>
    </w:p>
    <w:p w14:paraId="6587EC87" w14:textId="77777777" w:rsidR="00D8466D" w:rsidRPr="003D3A33" w:rsidRDefault="00D8466D" w:rsidP="00264A46">
      <w:pPr>
        <w:pStyle w:val="BodyinsprongReynaers"/>
        <w:numPr>
          <w:ilvl w:val="0"/>
          <w:numId w:val="2"/>
        </w:numPr>
        <w:ind w:left="284" w:hanging="284"/>
        <w:jc w:val="both"/>
        <w:bidi w:val="0"/>
      </w:pPr>
      <w:r>
        <w:rPr>
          <w:lang w:val="fr-be"/>
          <w:b w:val="0"/>
          <w:bCs w:val="0"/>
          <w:i w:val="0"/>
          <w:iCs w:val="0"/>
          <w:u w:val="none"/>
          <w:vertAlign w:val="baseline"/>
          <w:rtl w:val="0"/>
        </w:rPr>
        <w:t xml:space="preserve">Les résultats des calculs thermiques effectués sur le système (conformément à la norme EN 10077-2 et lorsque les calculs font l’objet d’une certification BCCA) sont compris entre les valeurs suivantes : </w:t>
      </w:r>
    </w:p>
    <w:p w14:paraId="2A89D1C8" w14:textId="63A64821" w:rsidR="00D8466D" w:rsidRPr="003D3A33" w:rsidRDefault="00D8466D" w:rsidP="00264A46">
      <w:pPr>
        <w:pStyle w:val="BodyinsprongReynaers"/>
        <w:numPr>
          <w:ilvl w:val="1"/>
          <w:numId w:val="2"/>
        </w:numPr>
        <w:jc w:val="both"/>
        <w:bidi w:val="0"/>
      </w:pPr>
      <w:r>
        <w:rPr>
          <w:lang w:val="fr-be"/>
          <w:b w:val="0"/>
          <w:bCs w:val="0"/>
          <w:i w:val="0"/>
          <w:iCs w:val="0"/>
          <w:u w:val="none"/>
          <w:vertAlign w:val="baseline"/>
          <w:rtl w:val="0"/>
        </w:rPr>
        <w:t xml:space="preserve">0,96 &lt; Uf ≤ 1,2 W/m² K en fonction de l’épaisseur de verre choisie </w:t>
      </w:r>
    </w:p>
    <w:p w14:paraId="09E51952" w14:textId="1A4C8D89" w:rsidR="00572622" w:rsidRPr="003D3A33" w:rsidRDefault="00572622" w:rsidP="00264A46">
      <w:pPr>
        <w:pStyle w:val="BodyinsprongReynaers"/>
        <w:numPr>
          <w:ilvl w:val="1"/>
          <w:numId w:val="2"/>
        </w:numPr>
        <w:jc w:val="both"/>
        <w:bidi w:val="0"/>
      </w:pPr>
      <w:r>
        <w:rPr>
          <w:lang w:val="fr-be"/>
          <w:b w:val="0"/>
          <w:bCs w:val="0"/>
          <w:i w:val="0"/>
          <w:iCs w:val="0"/>
          <w:u w:val="none"/>
          <w:vertAlign w:val="baseline"/>
          <w:rtl w:val="0"/>
        </w:rPr>
        <w:t xml:space="preserve">Uf=0,71 W/m²K pour la solution de maison passive (épaisseur de verre&gt;50 mm)</w:t>
      </w:r>
    </w:p>
    <w:p w14:paraId="34BF711C" w14:textId="77777777" w:rsidR="00D8466D" w:rsidRPr="003D3A33" w:rsidRDefault="00D8466D" w:rsidP="00264A46">
      <w:pPr>
        <w:pStyle w:val="BodyinsprongReynaers"/>
        <w:numPr>
          <w:ilvl w:val="0"/>
          <w:numId w:val="2"/>
        </w:numPr>
        <w:ind w:left="284" w:hanging="284"/>
        <w:jc w:val="both"/>
        <w:bidi w:val="0"/>
      </w:pPr>
      <w:r>
        <w:rPr>
          <w:lang w:val="fr-be"/>
          <w:b w:val="0"/>
          <w:bCs w:val="0"/>
          <w:i w:val="0"/>
          <w:iCs w:val="0"/>
          <w:u w:val="none"/>
          <w:vertAlign w:val="baseline"/>
          <w:rtl w:val="0"/>
        </w:rPr>
        <w:t xml:space="preserve">Un agrément européen ETA permanent pour le collage structurel des ouvrants de la fenêtre à soufflet avec le numéro A/G 020123.</w:t>
      </w:r>
    </w:p>
    <w:p w14:paraId="2F63102C" w14:textId="77777777" w:rsidR="00D8466D" w:rsidRPr="003D3A33" w:rsidRDefault="00D8466D" w:rsidP="00264A46">
      <w:pPr>
        <w:pStyle w:val="BodyinsprongReynaers"/>
        <w:numPr>
          <w:ilvl w:val="0"/>
          <w:numId w:val="2"/>
        </w:numPr>
        <w:ind w:left="284" w:hanging="284"/>
        <w:jc w:val="both"/>
        <w:bidi w:val="0"/>
      </w:pPr>
      <w:r>
        <w:rPr>
          <w:lang w:val="fr-be"/>
          <w:b w:val="0"/>
          <w:bCs w:val="0"/>
          <w:i w:val="0"/>
          <w:iCs w:val="0"/>
          <w:u w:val="none"/>
          <w:vertAlign w:val="baseline"/>
          <w:rtl w:val="0"/>
        </w:rPr>
        <w:t xml:space="preserve">Tests d’étanchéité au vent, à l’eau et à l’air conformément aux normes européennes applicables. </w:t>
      </w:r>
    </w:p>
    <w:p w14:paraId="06702907" w14:textId="77777777" w:rsidR="00D8466D" w:rsidRPr="003D3A33" w:rsidRDefault="00D8466D" w:rsidP="00264A46">
      <w:pPr>
        <w:pStyle w:val="BodyinsprongReynaers"/>
        <w:numPr>
          <w:ilvl w:val="0"/>
          <w:numId w:val="2"/>
        </w:numPr>
        <w:ind w:left="284" w:hanging="284"/>
        <w:jc w:val="both"/>
        <w:bidi w:val="0"/>
      </w:pPr>
      <w:r>
        <w:rPr>
          <w:lang w:val="fr-be"/>
          <w:b w:val="0"/>
          <w:bCs w:val="0"/>
          <w:i w:val="0"/>
          <w:iCs w:val="0"/>
          <w:u w:val="none"/>
          <w:vertAlign w:val="baseline"/>
          <w:rtl w:val="0"/>
        </w:rPr>
        <w:t xml:space="preserve">Rapports de test ITT conformes à la norme produit NBN EN 13830 applicable dans le cadre du marquage CE obligatoire.</w:t>
      </w:r>
    </w:p>
    <w:p w14:paraId="42C5B5E5" w14:textId="41061E8E" w:rsidR="006C326B" w:rsidRPr="003D3A33" w:rsidRDefault="006C326B" w:rsidP="00264A46">
      <w:pPr>
        <w:pStyle w:val="BodyinsprongReynaers"/>
        <w:numPr>
          <w:ilvl w:val="0"/>
          <w:numId w:val="2"/>
        </w:numPr>
        <w:ind w:left="284" w:hanging="284"/>
        <w:jc w:val="both"/>
        <w:bidi w:val="0"/>
      </w:pPr>
      <w:r>
        <w:rPr>
          <w:lang w:val="fr-be"/>
          <w:b w:val="0"/>
          <w:bCs w:val="0"/>
          <w:i w:val="0"/>
          <w:iCs w:val="0"/>
          <w:u w:val="none"/>
          <w:vertAlign w:val="baseline"/>
          <w:rtl w:val="0"/>
        </w:rPr>
        <w:t xml:space="preserve">Une garantie système de 10 ans couverte par une assurance sur :</w:t>
      </w:r>
    </w:p>
    <w:p w14:paraId="477CD6C9" w14:textId="77777777" w:rsidR="00307897" w:rsidRPr="003D3A33" w:rsidRDefault="00307897" w:rsidP="00307897">
      <w:pPr>
        <w:pStyle w:val="BodyinsprongReynaers"/>
        <w:jc w:val="both"/>
      </w:pPr>
    </w:p>
    <w:p w14:paraId="3519A57B" w14:textId="51C4DABF" w:rsidR="00307897" w:rsidRPr="003D3A33" w:rsidRDefault="00307897" w:rsidP="00264A46">
      <w:pPr>
        <w:pStyle w:val="ListParagraph"/>
        <w:numPr>
          <w:ilvl w:val="1"/>
          <w:numId w:val="2"/>
        </w:numPr>
        <w:spacing w:after="0" w:line="240" w:lineRule="auto"/>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l’aluminium (alliage et ses propriétés mécaniques),</w:t>
      </w:r>
    </w:p>
    <w:p w14:paraId="33EE363A" w14:textId="77777777" w:rsidR="00307897" w:rsidRPr="003D3A33" w:rsidRDefault="00307897" w:rsidP="00264A46">
      <w:pPr>
        <w:pStyle w:val="ListParagraph"/>
        <w:numPr>
          <w:ilvl w:val="1"/>
          <w:numId w:val="2"/>
        </w:numPr>
        <w:spacing w:after="0" w:line="240" w:lineRule="auto"/>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la peinture (accrochage, effritement, décoloration),</w:t>
      </w:r>
    </w:p>
    <w:p w14:paraId="54A3210A" w14:textId="77777777" w:rsidR="00307897" w:rsidRPr="003D3A33" w:rsidRDefault="00307897" w:rsidP="00264A46">
      <w:pPr>
        <w:pStyle w:val="ListParagraph"/>
        <w:numPr>
          <w:ilvl w:val="1"/>
          <w:numId w:val="2"/>
        </w:numPr>
        <w:spacing w:after="0" w:line="240" w:lineRule="auto"/>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l’isolation, </w:t>
      </w:r>
    </w:p>
    <w:p w14:paraId="113771E6" w14:textId="77777777" w:rsidR="00307897" w:rsidRPr="003D3A33" w:rsidRDefault="00307897" w:rsidP="00264A46">
      <w:pPr>
        <w:pStyle w:val="ListParagraph"/>
        <w:numPr>
          <w:ilvl w:val="1"/>
          <w:numId w:val="2"/>
        </w:numPr>
        <w:spacing w:after="0" w:line="240" w:lineRule="auto"/>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la fonctionnalité des accessoires (5 ans sur les pièces d’usure).</w:t>
      </w:r>
    </w:p>
    <w:p w14:paraId="6C3D2A9D" w14:textId="77777777" w:rsidR="00797BC3" w:rsidRPr="003D3A33" w:rsidRDefault="00797BC3" w:rsidP="00797BC3">
      <w:pPr>
        <w:pStyle w:val="ListParagraph"/>
        <w:spacing w:after="0" w:line="240" w:lineRule="auto"/>
        <w:ind w:left="1440"/>
        <w:rPr>
          <w:rFonts w:ascii="Arial" w:hAnsi="Arial" w:cs="Arial"/>
          <w:sz w:val="20"/>
          <w:szCs w:val="20"/>
        </w:rPr>
      </w:pPr>
    </w:p>
    <w:p w14:paraId="00A4CD7A" w14:textId="77777777" w:rsidR="00797BC3" w:rsidRPr="003D3A33" w:rsidRDefault="00797BC3" w:rsidP="00797BC3">
      <w:pPr>
        <w:pStyle w:val="ListParagraph"/>
        <w:numPr>
          <w:ilvl w:val="0"/>
          <w:numId w:val="7"/>
        </w:numPr>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Un certificat Qualicoat pour les profilés peints.  Lors du prétraitement des profilés, 2 g/m² sont teintés par défaut. Les profilés en aluminium standard peuvent ainsi être mis en œuvre dans des environnements agressifs. Pour les zones côtières et dans les piscines, on utilise un prétraitement seaside PA consistant en l’application d’une couche de pré-anodisation avant la peinture.</w:t>
      </w:r>
    </w:p>
    <w:p w14:paraId="6E538D53" w14:textId="4DD5E7FC" w:rsidR="00371C30" w:rsidRPr="003D3A33" w:rsidRDefault="006C326B" w:rsidP="00371C30">
      <w:pPr>
        <w:pStyle w:val="ListParagraph"/>
        <w:numPr>
          <w:ilvl w:val="0"/>
          <w:numId w:val="7"/>
        </w:numPr>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Un certificat Qualanod pour les profilés anodisés</w:t>
      </w:r>
    </w:p>
    <w:p w14:paraId="263F99A4" w14:textId="006B9EAE" w:rsidR="00371C30" w:rsidRPr="003D3A33" w:rsidRDefault="00371C30" w:rsidP="00371C30">
      <w:pPr>
        <w:pStyle w:val="ListParagraph"/>
        <w:numPr>
          <w:ilvl w:val="0"/>
          <w:numId w:val="7"/>
        </w:numPr>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Les propriétés mécaniques de l’aluminium utilisé sont conformes à la norme EN 755, partie 2, AW 6060 avec post-traitement T66. La composition est conforme à la norme EN 573, parties 3 et 4. Les tolérances des profilés sont conformes aux normes EN 12020, partie 2 et DIN 17615.</w:t>
      </w:r>
    </w:p>
    <w:p w14:paraId="78958965" w14:textId="77777777" w:rsidR="00371C30" w:rsidRPr="003D3A33" w:rsidRDefault="00371C30" w:rsidP="00371C30">
      <w:pPr>
        <w:pStyle w:val="ListParagraph"/>
        <w:numPr>
          <w:ilvl w:val="0"/>
          <w:numId w:val="7"/>
        </w:numPr>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Le système dispose d’un EPD.</w:t>
      </w:r>
    </w:p>
    <w:p w14:paraId="1BC4D670" w14:textId="77777777" w:rsidR="00371C30" w:rsidRPr="003D3A33" w:rsidRDefault="00371C30" w:rsidP="00371C30">
      <w:pPr>
        <w:pStyle w:val="ListParagraph"/>
        <w:numPr>
          <w:ilvl w:val="0"/>
          <w:numId w:val="7"/>
        </w:numPr>
        <w:rPr>
          <w:rFonts w:ascii="Arial" w:hAnsi="Arial" w:cs="Arial"/>
          <w:sz w:val="20"/>
          <w:szCs w:val="20"/>
        </w:rPr>
        <w:bidi w:val="0"/>
      </w:pPr>
      <w:r>
        <w:rPr>
          <w:rFonts w:ascii="Arial" w:cs="Arial" w:hAnsi="Arial"/>
          <w:sz w:val="20"/>
          <w:szCs w:val="20"/>
          <w:lang w:val="fr-be"/>
          <w:b w:val="0"/>
          <w:bCs w:val="0"/>
          <w:i w:val="0"/>
          <w:iCs w:val="0"/>
          <w:u w:val="none"/>
          <w:vertAlign w:val="baseline"/>
          <w:rtl w:val="0"/>
        </w:rPr>
        <w:t xml:space="preserve">L’empreinte carbone de l’aluminium est réduite grâce à l’utilisation de 75 % d’aluminium low carbon.</w:t>
      </w:r>
    </w:p>
    <w:p w14:paraId="3F38E905" w14:textId="1E66EA8F" w:rsidR="00FD764E" w:rsidRPr="003D3A33" w:rsidRDefault="00371C30" w:rsidP="00D14F75">
      <w:pPr>
        <w:pStyle w:val="ListParagraph"/>
        <w:ind w:left="436"/>
        <w:bidi w:val="0"/>
      </w:pPr>
      <w:r>
        <w:rPr>
          <w:rFonts w:ascii="Arial" w:cs="Arial" w:hAnsi="Arial"/>
          <w:sz w:val="20"/>
          <w:szCs w:val="20"/>
          <w:lang w:val="fr-be"/>
          <w:b w:val="0"/>
          <w:bCs w:val="0"/>
          <w:i w:val="0"/>
          <w:iCs w:val="0"/>
          <w:u w:val="none"/>
          <w:vertAlign w:val="baseline"/>
          <w:rtl w:val="0"/>
        </w:rPr>
        <w:t xml:space="preserve">L’empreinte carbone des billettes d’aluminium utilisées peut être calculée sur la base d’un projet.</w:t>
      </w:r>
    </w:p>
    <w:p w14:paraId="6B5F676D" w14:textId="77777777" w:rsidR="00FD764E" w:rsidRPr="003D3A33" w:rsidRDefault="00FD764E" w:rsidP="00FD764E">
      <w:pPr>
        <w:pStyle w:val="BodyReynaers"/>
        <w:jc w:val="both"/>
        <w:bidi w:val="0"/>
      </w:pPr>
      <w:r>
        <w:rPr>
          <w:lang w:val="fr-be"/>
          <w:b w:val="0"/>
          <w:bCs w:val="0"/>
          <w:i w:val="0"/>
          <w:iCs w:val="0"/>
          <w:u w:val="none"/>
          <w:vertAlign w:val="baseline"/>
          <w:rtl w:val="0"/>
        </w:rPr>
        <w:t xml:space="preserve">Des copies de ces certificats et rapports de tests doivent pouvoir être présentées immédiatement </w:t>
      </w:r>
    </w:p>
    <w:p w14:paraId="460F9FD5" w14:textId="77777777" w:rsidR="00FD764E" w:rsidRPr="003D3A33" w:rsidRDefault="00FD764E" w:rsidP="00FD764E">
      <w:pPr>
        <w:pStyle w:val="BodyReynaers"/>
        <w:jc w:val="both"/>
        <w:bidi w:val="0"/>
      </w:pPr>
      <w:r>
        <w:rPr>
          <w:lang w:val="fr-be"/>
          <w:b w:val="0"/>
          <w:bCs w:val="0"/>
          <w:i w:val="0"/>
          <w:iCs w:val="0"/>
          <w:u w:val="none"/>
          <w:vertAlign w:val="baseline"/>
          <w:rtl w:val="0"/>
        </w:rPr>
        <w:t xml:space="preserve">à la demande de l’architecte.</w:t>
      </w:r>
    </w:p>
    <w:p w14:paraId="77D4372E" w14:textId="19F03509" w:rsidR="00D8466D" w:rsidRPr="003D3A33" w:rsidRDefault="00D8466D" w:rsidP="00D8466D">
      <w:pPr>
        <w:pStyle w:val="BodyReynaers"/>
        <w:jc w:val="both"/>
        <w:bidi w:val="0"/>
      </w:pPr>
      <w:r>
        <w:rPr>
          <w:lang w:val="fr-be"/>
          <w:b w:val="0"/>
          <w:bCs w:val="0"/>
          <w:i w:val="0"/>
          <w:iCs w:val="0"/>
          <w:u w:val="none"/>
          <w:vertAlign w:val="baseline"/>
          <w:rtl w:val="0"/>
        </w:rPr>
        <w:t xml:space="preserve">Le constructeur doit respecter la norme produit EN 13830 en vigueur. Les documents de marquage CE (CE-LABEL, déclaration de substances réglementées et déclaration de conformité) doivent pouvoir être présentés, de même qu’un certificat de processus attestant que la production est conforme à la norme EN</w:t>
      </w:r>
      <w:r>
        <w:rPr>
          <w:strike/>
          <w:lang w:val="fr-be"/>
          <w:b w:val="0"/>
          <w:bCs w:val="0"/>
          <w:i w:val="0"/>
          <w:iCs w:val="0"/>
          <w:u w:val="none"/>
          <w:vertAlign w:val="baseline"/>
          <w:rtl w:val="0"/>
        </w:rPr>
        <w:t xml:space="preserve"> </w:t>
      </w:r>
      <w:r>
        <w:rPr>
          <w:lang w:val="fr-be"/>
          <w:b w:val="0"/>
          <w:bCs w:val="0"/>
          <w:i w:val="0"/>
          <w:iCs w:val="0"/>
          <w:u w:val="none"/>
          <w:vertAlign w:val="baseline"/>
          <w:rtl w:val="0"/>
        </w:rPr>
        <w:t xml:space="preserve">13830.</w:t>
      </w:r>
    </w:p>
    <w:p w14:paraId="58245F8D" w14:textId="77777777" w:rsidR="007D0E7B" w:rsidRPr="003D3A33" w:rsidRDefault="007D0E7B">
      <w:pPr>
        <w:pStyle w:val="BodyReynaers"/>
      </w:pPr>
    </w:p>
    <w:p w14:paraId="7D4FF3AA" w14:textId="77777777" w:rsidR="00D8466D" w:rsidRPr="003D3A33" w:rsidRDefault="00D8466D">
      <w:pPr>
        <w:pStyle w:val="BodyReynaers"/>
      </w:pPr>
    </w:p>
    <w:p w14:paraId="7ABCEEDD" w14:textId="77777777" w:rsidR="006F46D9" w:rsidRPr="003D3A33" w:rsidRDefault="00896F24" w:rsidP="00264A46">
      <w:pPr>
        <w:pStyle w:val="HeadReynaers"/>
        <w:numPr>
          <w:ilvl w:val="0"/>
          <w:numId w:val="1"/>
        </w:numPr>
        <w:ind w:left="284" w:hanging="284"/>
        <w:bidi w:val="0"/>
      </w:pPr>
      <w:r>
        <w:rPr>
          <w:lang w:val="fr-be"/>
          <w:b w:val="1"/>
          <w:bCs w:val="1"/>
          <w:i w:val="0"/>
          <w:iCs w:val="0"/>
          <w:u w:val="none"/>
          <w:vertAlign w:val="baseline"/>
          <w:rtl w:val="0"/>
        </w:rPr>
        <w:t xml:space="preserve">Design</w:t>
      </w:r>
    </w:p>
    <w:p w14:paraId="3D24905E" w14:textId="77777777" w:rsidR="0028180F" w:rsidRPr="003D3A33" w:rsidRDefault="0028180F" w:rsidP="0028180F">
      <w:pPr>
        <w:pStyle w:val="BodyReynaers"/>
      </w:pPr>
    </w:p>
    <w:p w14:paraId="2C86CFF5" w14:textId="77777777" w:rsidR="00596841" w:rsidRPr="003D3A33" w:rsidRDefault="00596841">
      <w:pPr>
        <w:pStyle w:val="BodyReynaers"/>
        <w:rPr>
          <w:sz w:val="18"/>
          <w:szCs w:val="18"/>
        </w:rPr>
      </w:pPr>
    </w:p>
    <w:p w14:paraId="4AE4C80A" w14:textId="2E4E6026" w:rsidR="00365742" w:rsidRPr="003D3A33" w:rsidRDefault="00FD764E" w:rsidP="00365742">
      <w:pPr>
        <w:pStyle w:val="BodyReynaers"/>
        <w:bidi w:val="0"/>
      </w:pPr>
      <w:r>
        <w:rPr>
          <w:lang w:val="fr-be"/>
          <w:b w:val="0"/>
          <w:bCs w:val="0"/>
          <w:i w:val="0"/>
          <w:iCs w:val="0"/>
          <w:u w:val="none"/>
          <w:vertAlign w:val="baseline"/>
          <w:rtl w:val="0"/>
        </w:rPr>
        <w:t xml:space="preserve">Les profilés de la structure portante ont une largeur visible de 35 mm et un rayon de courbure de 0,5 mm.</w:t>
      </w:r>
    </w:p>
    <w:p w14:paraId="09802F88" w14:textId="17C505E2" w:rsidR="00FD764E" w:rsidRPr="003D3A33" w:rsidRDefault="00FD764E" w:rsidP="00365742">
      <w:pPr>
        <w:pStyle w:val="BodyReynaers"/>
        <w:bidi w:val="0"/>
      </w:pPr>
      <w:r>
        <w:rPr>
          <w:lang w:val="fr-be"/>
          <w:b w:val="0"/>
          <w:bCs w:val="0"/>
          <w:i w:val="0"/>
          <w:iCs w:val="0"/>
          <w:u w:val="none"/>
          <w:vertAlign w:val="baseline"/>
          <w:rtl w:val="0"/>
        </w:rPr>
        <w:t xml:space="preserve">Les pièces de fixation extérieures sont de type rectangulaire et ont une profondeur de :</w:t>
      </w:r>
    </w:p>
    <w:p w14:paraId="3E5D14C8" w14:textId="1F3DD955" w:rsidR="00917997" w:rsidRPr="003D3A33" w:rsidRDefault="00917997" w:rsidP="00365742">
      <w:pPr>
        <w:pStyle w:val="BodyReynaers"/>
        <w:rPr/>
        <w:bidi w:val="0"/>
      </w:pPr>
      <w:r>
        <w:rPr>
          <w:lang w:val="fr-be"/>
          <w:b w:val="0"/>
          <w:bCs w:val="0"/>
          <w:i w:val="0"/>
          <w:iCs w:val="0"/>
          <w:u w:val="none"/>
          <w:vertAlign w:val="baseline"/>
          <w:rtl w:val="0"/>
        </w:rPr>
        <w:t xml:space="preserve">17 mm, 19 mm, 22,5 mm, 30,5 mm ou 69 mm.</w:t>
      </w:r>
    </w:p>
    <w:p w14:paraId="5301571E" w14:textId="4C8E7FBD" w:rsidR="00917997" w:rsidRPr="003D3A33" w:rsidRDefault="00917997" w:rsidP="00365742">
      <w:pPr>
        <w:pStyle w:val="BodyReynaers"/>
        <w:rPr/>
        <w:bidi w:val="0"/>
      </w:pPr>
      <w:r>
        <w:rPr>
          <w:lang w:val="fr-be"/>
          <w:b w:val="0"/>
          <w:bCs w:val="0"/>
          <w:i w:val="0"/>
          <w:iCs w:val="0"/>
          <w:u w:val="none"/>
          <w:vertAlign w:val="baseline"/>
          <w:rtl w:val="0"/>
        </w:rPr>
        <w:t xml:space="preserve">Une variante en forme de H d’une profondeur de 34 mm est également disponible.</w:t>
      </w:r>
    </w:p>
    <w:p w14:paraId="45DAFFE6" w14:textId="77777777" w:rsidR="0094584A" w:rsidRPr="003D3A33" w:rsidRDefault="0094584A" w:rsidP="00365742">
      <w:pPr>
        <w:pStyle w:val="BodyReynaers"/>
        <w:rPr/>
      </w:pPr>
    </w:p>
    <w:p w14:paraId="3EBD59A9" w14:textId="77777777" w:rsidR="0094584A" w:rsidRPr="003D3A33" w:rsidRDefault="0094584A">
      <w:pPr>
        <w:pStyle w:val="BodyReynaers"/>
        <w:rPr>
          <w:sz w:val="18"/>
          <w:szCs w:val="18"/>
        </w:rPr>
      </w:pPr>
    </w:p>
    <w:p w14:paraId="01256EFB" w14:textId="77777777" w:rsidR="0094584A" w:rsidRPr="003D3A33" w:rsidRDefault="0094584A">
      <w:pPr>
        <w:pStyle w:val="BodyReynaers"/>
        <w:rPr>
          <w:sz w:val="18"/>
          <w:szCs w:val="18"/>
        </w:rPr>
      </w:pPr>
    </w:p>
    <w:p w14:paraId="141F4AB5" w14:textId="77777777" w:rsidR="007D0E7B" w:rsidRPr="003D3A33" w:rsidRDefault="007D0E7B">
      <w:pPr>
        <w:pStyle w:val="BodyReynaers"/>
        <w:rPr>
          <w:sz w:val="18"/>
          <w:szCs w:val="18"/>
        </w:rPr>
        <w:bidi w:val="0"/>
      </w:pPr>
      <w:r>
        <w:rPr>
          <w:sz w:val="18"/>
          <w:szCs w:val="18"/>
          <w:lang w:val="fr-be"/>
          <w:b w:val="0"/>
          <w:bCs w:val="0"/>
          <w:i w:val="0"/>
          <w:iCs w:val="0"/>
          <w:u w:val="none"/>
          <w:vertAlign w:val="baseline"/>
          <w:rtl w:val="0"/>
        </w:rPr>
        <w:t xml:space="preserve">.</w:t>
      </w:r>
    </w:p>
    <w:p w14:paraId="0F81CC16" w14:textId="77777777" w:rsidR="00222A7E" w:rsidRPr="003D3A33" w:rsidRDefault="00222A7E">
      <w:pPr>
        <w:pStyle w:val="BodyReynaers"/>
        <w:rPr>
          <w:sz w:val="18"/>
          <w:szCs w:val="18"/>
        </w:rPr>
        <w:sectPr w:rsidR="00222A7E" w:rsidRPr="003D3A33">
          <w:headerReference w:type="default" r:id="rId8"/>
          <w:footerReference w:type="default" r:id="rId9"/>
          <w:type w:val="continuous"/>
          <w:pgSz w:w="11906" w:h="16838"/>
          <w:pgMar w:top="567" w:right="567" w:bottom="851" w:left="1134" w:header="0" w:footer="284" w:gutter="0"/>
          <w:cols w:space="709"/>
        </w:sectPr>
      </w:pPr>
    </w:p>
    <w:tbl>
      <w:tblPr>
        <w:tblStyle w:val="TableGrid"/>
        <w:tblW w:w="0" w:type="auto"/>
        <w:tblLook w:val="04A0" w:firstRow="1" w:lastRow="0" w:firstColumn="1" w:lastColumn="0" w:noHBand="0" w:noVBand="1"/>
      </w:tblPr>
      <w:tblGrid>
        <w:gridCol w:w="3642"/>
        <w:gridCol w:w="3316"/>
        <w:gridCol w:w="3237"/>
      </w:tblGrid>
      <w:tr w:rsidR="001D37B8" w:rsidRPr="003D3A33" w14:paraId="2BE194A1" w14:textId="77777777" w:rsidTr="001D37B8">
        <w:tc>
          <w:tcPr>
            <w:tcW w:w="3448" w:type="dxa"/>
          </w:tcPr>
          <w:p w14:paraId="024FF864" w14:textId="77777777" w:rsidR="007D654A" w:rsidRPr="003D3A33" w:rsidRDefault="007D654A">
            <w:pPr>
              <w:pStyle w:val="BodyReynaers"/>
              <w:rPr>
                <w:b/>
                <w:noProof/>
              </w:rPr>
            </w:pPr>
          </w:p>
          <w:p w14:paraId="017F2E2B" w14:textId="4ED952F2" w:rsidR="001D37B8" w:rsidRPr="003D3A33" w:rsidRDefault="007D654A">
            <w:pPr>
              <w:pStyle w:val="BodyReynaers"/>
              <w:rPr>
                <w:b/>
              </w:rPr>
              <w:bidi w:val="0"/>
            </w:pPr>
            <w:r>
              <w:rPr>
                <w:noProof/>
                <w:lang w:val="fr-be"/>
                <w:b w:val="1"/>
                <w:bCs w:val="1"/>
                <w:i w:val="0"/>
                <w:iCs w:val="0"/>
                <w:u w:val="none"/>
                <w:vertAlign w:val="baseline"/>
                <w:rtl w:val="0"/>
              </w:rPr>
              <w:drawing>
                <wp:inline distT="0" distB="0" distL="0" distR="0" wp14:anchorId="0E930FE0" wp14:editId="29C3AEFA">
                  <wp:extent cx="2175669" cy="1740535"/>
                  <wp:effectExtent l="0" t="0" r="0" b="0"/>
                  <wp:docPr id="4" name="Picture 3">
                    <a:extLst xmlns:a="http://schemas.openxmlformats.org/drawingml/2006/main">
                      <a:ext uri="{FF2B5EF4-FFF2-40B4-BE49-F238E27FC236}">
                        <a16:creationId xmlns:a16="http://schemas.microsoft.com/office/drawing/2014/main" id="{ECCE8ED3-1116-2B34-6834-FE21C5C4F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CE8ED3-1116-2B34-6834-FE21C5C4F05E}"/>
                              </a:ext>
                            </a:extLst>
                          </pic:cNvPr>
                          <pic:cNvPicPr>
                            <a:picLocks noChangeAspect="1"/>
                          </pic:cNvPicPr>
                        </pic:nvPicPr>
                        <pic:blipFill>
                          <a:blip r:embed="rId10"/>
                          <a:stretch>
                            <a:fillRect/>
                          </a:stretch>
                        </pic:blipFill>
                        <pic:spPr>
                          <a:xfrm>
                            <a:off x="0" y="0"/>
                            <a:ext cx="2178534" cy="1742827"/>
                          </a:xfrm>
                          <a:prstGeom prst="rect">
                            <a:avLst/>
                          </a:prstGeom>
                        </pic:spPr>
                      </pic:pic>
                    </a:graphicData>
                  </a:graphic>
                </wp:inline>
              </w:drawing>
            </w:r>
          </w:p>
          <w:p w14:paraId="071ACC01" w14:textId="531C635E" w:rsidR="001D37B8" w:rsidRPr="003D3A33" w:rsidRDefault="001D37B8">
            <w:pPr>
              <w:pStyle w:val="BodyReynaers"/>
              <w:rPr>
                <w:b/>
                <w:sz w:val="24"/>
                <w:szCs w:val="24"/>
              </w:rPr>
            </w:pPr>
          </w:p>
        </w:tc>
        <w:tc>
          <w:tcPr>
            <w:tcW w:w="3448" w:type="dxa"/>
          </w:tcPr>
          <w:p w14:paraId="2A10E9D1" w14:textId="031CEFFC" w:rsidR="001D37B8" w:rsidRPr="003D3A33" w:rsidRDefault="001D37B8">
            <w:pPr>
              <w:pStyle w:val="BodyReynaers"/>
              <w:rPr>
                <w:b/>
              </w:rPr>
            </w:pPr>
          </w:p>
          <w:p w14:paraId="65E6BB09" w14:textId="58EC64A8" w:rsidR="001D37B8" w:rsidRPr="003D3A33" w:rsidRDefault="007D654A">
            <w:pPr>
              <w:pStyle w:val="BodyReynaers"/>
              <w:rPr>
                <w:b/>
                <w:sz w:val="24"/>
                <w:szCs w:val="24"/>
              </w:rPr>
              <w:bidi w:val="0"/>
            </w:pPr>
            <w:r>
              <w:rPr>
                <w:noProof/>
                <w:sz w:val="24"/>
                <w:szCs w:val="24"/>
                <w:lang w:val="fr-be"/>
                <w:b w:val="1"/>
                <w:bCs w:val="1"/>
                <w:i w:val="0"/>
                <w:iCs w:val="0"/>
                <w:u w:val="none"/>
                <w:vertAlign w:val="baseline"/>
                <w:rtl w:val="0"/>
              </w:rPr>
              <w:drawing>
                <wp:inline distT="0" distB="0" distL="0" distR="0" wp14:anchorId="7FDE5F4A" wp14:editId="7905C168">
                  <wp:extent cx="1896110" cy="1704975"/>
                  <wp:effectExtent l="0" t="0" r="8890" b="9525"/>
                  <wp:docPr id="6" name="Picture 5">
                    <a:extLst xmlns:a="http://schemas.openxmlformats.org/drawingml/2006/main">
                      <a:ext uri="{FF2B5EF4-FFF2-40B4-BE49-F238E27FC236}">
                        <a16:creationId xmlns:a16="http://schemas.microsoft.com/office/drawing/2014/main" id="{AC98CCD7-F41B-AD81-151D-039BFE808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C98CCD7-F41B-AD81-151D-039BFE80898F}"/>
                              </a:ext>
                            </a:extLst>
                          </pic:cNvPr>
                          <pic:cNvPicPr>
                            <a:picLocks noChangeAspect="1"/>
                          </pic:cNvPicPr>
                        </pic:nvPicPr>
                        <pic:blipFill>
                          <a:blip r:embed="rId11"/>
                          <a:stretch>
                            <a:fillRect/>
                          </a:stretch>
                        </pic:blipFill>
                        <pic:spPr>
                          <a:xfrm>
                            <a:off x="0" y="0"/>
                            <a:ext cx="1898418" cy="1707050"/>
                          </a:xfrm>
                          <a:prstGeom prst="rect">
                            <a:avLst/>
                          </a:prstGeom>
                        </pic:spPr>
                      </pic:pic>
                    </a:graphicData>
                  </a:graphic>
                </wp:inline>
              </w:drawing>
            </w:r>
          </w:p>
        </w:tc>
        <w:tc>
          <w:tcPr>
            <w:tcW w:w="3449" w:type="dxa"/>
          </w:tcPr>
          <w:p w14:paraId="5FA22661" w14:textId="16D35567" w:rsidR="001D37B8" w:rsidRPr="003D3A33" w:rsidRDefault="001D37B8">
            <w:pPr>
              <w:pStyle w:val="BodyReynaers"/>
              <w:rPr>
                <w:b/>
              </w:rPr>
            </w:pPr>
          </w:p>
          <w:p w14:paraId="6AA73678" w14:textId="612EB3C2" w:rsidR="001D37B8" w:rsidRPr="003D3A33" w:rsidRDefault="00DC24F5">
            <w:pPr>
              <w:pStyle w:val="BodyReynaers"/>
              <w:rPr>
                <w:b/>
                <w:sz w:val="24"/>
                <w:szCs w:val="24"/>
              </w:rPr>
              <w:bidi w:val="0"/>
            </w:pPr>
            <w:r>
              <w:rPr>
                <w:noProof/>
                <w:sz w:val="24"/>
                <w:szCs w:val="24"/>
                <w:lang w:val="fr-be"/>
                <w:b w:val="1"/>
                <w:bCs w:val="1"/>
                <w:i w:val="0"/>
                <w:iCs w:val="0"/>
                <w:u w:val="none"/>
                <w:vertAlign w:val="baseline"/>
                <w:rtl w:val="0"/>
              </w:rPr>
              <w:drawing>
                <wp:inline distT="0" distB="0" distL="0" distR="0" wp14:anchorId="57B2F5DD" wp14:editId="20097EFD">
                  <wp:extent cx="1815465" cy="1876425"/>
                  <wp:effectExtent l="0" t="0" r="0" b="9525"/>
                  <wp:docPr id="3" name="Picture 2">
                    <a:extLst xmlns:a="http://schemas.openxmlformats.org/drawingml/2006/main">
                      <a:ext uri="{FF2B5EF4-FFF2-40B4-BE49-F238E27FC236}">
                        <a16:creationId xmlns:a16="http://schemas.microsoft.com/office/drawing/2014/main" id="{05F53269-1837-EDAE-AF2A-65BA778C6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5F53269-1837-EDAE-AF2A-65BA778C6B2A}"/>
                              </a:ext>
                            </a:extLst>
                          </pic:cNvPr>
                          <pic:cNvPicPr>
                            <a:picLocks noChangeAspect="1"/>
                          </pic:cNvPicPr>
                        </pic:nvPicPr>
                        <pic:blipFill>
                          <a:blip r:embed="rId12"/>
                          <a:stretch>
                            <a:fillRect/>
                          </a:stretch>
                        </pic:blipFill>
                        <pic:spPr>
                          <a:xfrm>
                            <a:off x="0" y="0"/>
                            <a:ext cx="1816040" cy="1877019"/>
                          </a:xfrm>
                          <a:prstGeom prst="rect">
                            <a:avLst/>
                          </a:prstGeom>
                        </pic:spPr>
                      </pic:pic>
                    </a:graphicData>
                  </a:graphic>
                </wp:inline>
              </w:drawing>
            </w:r>
          </w:p>
        </w:tc>
      </w:tr>
    </w:tbl>
    <w:p w14:paraId="080FA1B5" w14:textId="77777777" w:rsidR="007B71D8" w:rsidRPr="003D3A33" w:rsidRDefault="007B71D8">
      <w:pPr>
        <w:pStyle w:val="BodyReynaers"/>
        <w:rPr>
          <w:b/>
        </w:rPr>
      </w:pPr>
    </w:p>
    <w:p w14:paraId="614EFE98" w14:textId="77777777" w:rsidR="005B6F58" w:rsidRPr="003D3A33" w:rsidRDefault="005B6F58" w:rsidP="00D70BE2">
      <w:pPr>
        <w:pStyle w:val="BodyReynaers"/>
      </w:pPr>
    </w:p>
    <w:p w14:paraId="2E89E5C9" w14:textId="77777777" w:rsidR="00D70BE2" w:rsidRPr="003D3A33" w:rsidRDefault="00D70BE2" w:rsidP="00D70BE2">
      <w:pPr>
        <w:pStyle w:val="BodyReynaers"/>
      </w:pPr>
    </w:p>
    <w:p w14:paraId="7B411E51" w14:textId="77777777" w:rsidR="007B71D8" w:rsidRPr="003D3A33" w:rsidRDefault="00453A7A" w:rsidP="00453A7A">
      <w:pPr>
        <w:pStyle w:val="HeadReynaers"/>
        <w:rPr>
          <w:sz w:val="22"/>
          <w:szCs w:val="22"/>
        </w:rPr>
        <w:bidi w:val="0"/>
      </w:pPr>
      <w:r>
        <w:rPr>
          <w:sz w:val="22"/>
          <w:szCs w:val="22"/>
          <w:lang w:val="fr-be"/>
          <w:b w:val="1"/>
          <w:bCs w:val="1"/>
          <w:i w:val="0"/>
          <w:iCs w:val="0"/>
          <w:u w:val="none"/>
          <w:vertAlign w:val="baseline"/>
          <w:rtl w:val="0"/>
        </w:rPr>
        <w:t xml:space="preserve">Performances</w:t>
      </w:r>
    </w:p>
    <w:p w14:paraId="5441315F" w14:textId="77777777" w:rsidR="0065632E" w:rsidRPr="003D3A33" w:rsidRDefault="0065632E" w:rsidP="0065632E">
      <w:pPr>
        <w:pStyle w:val="BodyReynaers"/>
      </w:pPr>
    </w:p>
    <w:p w14:paraId="640FF2DC" w14:textId="77777777" w:rsidR="0065632E" w:rsidRPr="003D3A33" w:rsidRDefault="0065632E" w:rsidP="0065632E">
      <w:pPr>
        <w:pStyle w:val="BodyReynaers"/>
      </w:pPr>
    </w:p>
    <w:tbl>
      <w:tblPr>
        <w:tblStyle w:val="TableGrid"/>
        <w:tblW w:w="0" w:type="auto"/>
        <w:tblLook w:val="04A0" w:firstRow="1" w:lastRow="0" w:firstColumn="1" w:lastColumn="0" w:noHBand="0" w:noVBand="1"/>
      </w:tblPr>
      <w:tblGrid>
        <w:gridCol w:w="5101"/>
        <w:gridCol w:w="5094"/>
      </w:tblGrid>
      <w:tr w:rsidR="003D3A33" w:rsidRPr="003D3A33" w14:paraId="79FDD654" w14:textId="77777777" w:rsidTr="00453A7A">
        <w:tc>
          <w:tcPr>
            <w:tcW w:w="5172" w:type="dxa"/>
          </w:tcPr>
          <w:p w14:paraId="52E4CA99" w14:textId="77777777" w:rsidR="00453A7A" w:rsidRPr="003D3A33" w:rsidRDefault="00453A7A" w:rsidP="0065632E">
            <w:pPr>
              <w:pStyle w:val="BodyReynaers"/>
              <w:rPr>
                <w:b/>
              </w:rPr>
              <w:bidi w:val="0"/>
            </w:pPr>
            <w:r>
              <w:rPr>
                <w:lang w:val="fr-be"/>
                <w:b w:val="1"/>
                <w:bCs w:val="1"/>
                <w:i w:val="0"/>
                <w:iCs w:val="0"/>
                <w:u w:val="none"/>
                <w:vertAlign w:val="baseline"/>
                <w:rtl w:val="0"/>
              </w:rPr>
              <w:t xml:space="preserve">Performances AEV</w:t>
            </w:r>
          </w:p>
        </w:tc>
        <w:tc>
          <w:tcPr>
            <w:tcW w:w="5173" w:type="dxa"/>
          </w:tcPr>
          <w:p w14:paraId="2E3D1FE8" w14:textId="77777777" w:rsidR="00453A7A" w:rsidRPr="003D3A33" w:rsidRDefault="00453A7A" w:rsidP="0065632E">
            <w:pPr>
              <w:pStyle w:val="BodyReynaers"/>
              <w:rPr>
                <w:b/>
              </w:rPr>
              <w:bidi w:val="0"/>
            </w:pPr>
            <w:r>
              <w:rPr>
                <w:lang w:val="fr-be"/>
                <w:b w:val="1"/>
                <w:bCs w:val="1"/>
                <w:i w:val="0"/>
                <w:iCs w:val="0"/>
                <w:u w:val="none"/>
                <w:vertAlign w:val="baseline"/>
                <w:rtl w:val="0"/>
              </w:rPr>
              <w:t xml:space="preserve">Classe</w:t>
            </w:r>
          </w:p>
        </w:tc>
      </w:tr>
      <w:tr w:rsidR="003D3A33" w:rsidRPr="003D3A33" w14:paraId="35A87BC0" w14:textId="77777777" w:rsidTr="00453A7A">
        <w:tc>
          <w:tcPr>
            <w:tcW w:w="5172" w:type="dxa"/>
          </w:tcPr>
          <w:p w14:paraId="1A14468F" w14:textId="67759241" w:rsidR="00C96A96" w:rsidRPr="003D3A33" w:rsidRDefault="00C96A96" w:rsidP="0065632E">
            <w:pPr>
              <w:pStyle w:val="BodyReynaers"/>
              <w:bidi w:val="0"/>
            </w:pPr>
            <w:r>
              <w:rPr>
                <w:lang w:val="fr-be"/>
                <w:b w:val="0"/>
                <w:bCs w:val="0"/>
                <w:i w:val="0"/>
                <w:iCs w:val="0"/>
                <w:u w:val="none"/>
                <w:vertAlign w:val="baseline"/>
                <w:rtl w:val="0"/>
              </w:rPr>
              <w:t xml:space="preserve">Étanchéité à l’air EN 13830 :</w:t>
            </w:r>
          </w:p>
        </w:tc>
        <w:tc>
          <w:tcPr>
            <w:tcW w:w="5173" w:type="dxa"/>
          </w:tcPr>
          <w:p w14:paraId="16E3A11C" w14:textId="64937F36" w:rsidR="00C96A96" w:rsidRPr="003D3A33" w:rsidRDefault="00DC24F5" w:rsidP="00C16EA7">
            <w:pPr>
              <w:pStyle w:val="BodyReynaers"/>
              <w:bidi w:val="0"/>
            </w:pPr>
            <w:r>
              <w:rPr>
                <w:lang w:val="fr-be"/>
                <w:b w:val="0"/>
                <w:bCs w:val="0"/>
                <w:i w:val="0"/>
                <w:iCs w:val="0"/>
                <w:u w:val="none"/>
                <w:vertAlign w:val="baseline"/>
                <w:rtl w:val="0"/>
              </w:rPr>
              <w:t xml:space="preserve">+1 200 – 1 050 Pa</w:t>
            </w:r>
          </w:p>
        </w:tc>
      </w:tr>
      <w:tr w:rsidR="003D3A33" w:rsidRPr="003D3A33" w14:paraId="5737CCC5" w14:textId="77777777" w:rsidTr="00453A7A">
        <w:tc>
          <w:tcPr>
            <w:tcW w:w="5172" w:type="dxa"/>
          </w:tcPr>
          <w:p w14:paraId="1BA040A8" w14:textId="6CFFAEF8" w:rsidR="00C96A96" w:rsidRPr="003D3A33" w:rsidRDefault="00C96A96" w:rsidP="0065632E">
            <w:pPr>
              <w:pStyle w:val="BodyReynaers"/>
              <w:bidi w:val="0"/>
            </w:pPr>
            <w:r>
              <w:rPr>
                <w:lang w:val="fr-be"/>
                <w:b w:val="0"/>
                <w:bCs w:val="0"/>
                <w:i w:val="0"/>
                <w:iCs w:val="0"/>
                <w:u w:val="none"/>
                <w:vertAlign w:val="baseline"/>
                <w:rtl w:val="0"/>
              </w:rPr>
              <w:t xml:space="preserve">Imperméabilité EN 13830 :</w:t>
            </w:r>
          </w:p>
        </w:tc>
        <w:tc>
          <w:tcPr>
            <w:tcW w:w="5173" w:type="dxa"/>
          </w:tcPr>
          <w:p w14:paraId="6DDD2094" w14:textId="6F0C024F" w:rsidR="00C96A96" w:rsidRPr="003D3A33" w:rsidRDefault="00DC24F5" w:rsidP="00C16EA7">
            <w:pPr>
              <w:pStyle w:val="BodyReynaers"/>
              <w:rPr/>
              <w:bidi w:val="0"/>
            </w:pPr>
            <w:r>
              <w:rPr>
                <w:lang w:val="fr-be"/>
                <w:b w:val="0"/>
                <w:bCs w:val="0"/>
                <w:i w:val="0"/>
                <w:iCs w:val="0"/>
                <w:u w:val="none"/>
                <w:vertAlign w:val="baseline"/>
                <w:rtl w:val="0"/>
              </w:rPr>
              <w:t xml:space="preserve">RE 1 200 Pa</w:t>
            </w:r>
          </w:p>
        </w:tc>
      </w:tr>
      <w:tr w:rsidR="00DC24F5" w:rsidRPr="003D3A33" w14:paraId="40176817" w14:textId="77777777" w:rsidTr="00453A7A">
        <w:tc>
          <w:tcPr>
            <w:tcW w:w="5172" w:type="dxa"/>
          </w:tcPr>
          <w:p w14:paraId="12B776EA" w14:textId="4BD28360" w:rsidR="00C96A96" w:rsidRPr="003D3A33" w:rsidRDefault="00C96A96" w:rsidP="0065632E">
            <w:pPr>
              <w:pStyle w:val="BodyReynaers"/>
              <w:bidi w:val="0"/>
            </w:pPr>
            <w:r>
              <w:rPr>
                <w:lang w:val="fr-be"/>
                <w:b w:val="0"/>
                <w:bCs w:val="0"/>
                <w:i w:val="0"/>
                <w:iCs w:val="0"/>
                <w:u w:val="none"/>
                <w:vertAlign w:val="baseline"/>
                <w:rtl w:val="0"/>
              </w:rPr>
              <w:t xml:space="preserve">Résistance au vent EN 13830 :</w:t>
            </w:r>
          </w:p>
        </w:tc>
        <w:tc>
          <w:tcPr>
            <w:tcW w:w="5173" w:type="dxa"/>
          </w:tcPr>
          <w:p w14:paraId="23599E37" w14:textId="5F8DCAC9" w:rsidR="00C96A96" w:rsidRPr="003D3A33" w:rsidRDefault="00572622" w:rsidP="00572622">
            <w:pPr>
              <w:pStyle w:val="BodyReynaers"/>
              <w:bidi w:val="0"/>
            </w:pPr>
            <w:r>
              <w:rPr>
                <w:lang w:val="fr-be"/>
                <w:b w:val="0"/>
                <w:bCs w:val="0"/>
                <w:i w:val="0"/>
                <w:iCs w:val="0"/>
                <w:u w:val="none"/>
                <w:vertAlign w:val="baseline"/>
                <w:rtl w:val="0"/>
              </w:rPr>
              <w:t xml:space="preserve">2 000 Pa</w:t>
            </w:r>
          </w:p>
        </w:tc>
      </w:tr>
    </w:tbl>
    <w:p w14:paraId="5D011877" w14:textId="77777777" w:rsidR="0065632E" w:rsidRPr="003D3A33" w:rsidRDefault="0065632E" w:rsidP="0065632E">
      <w:pPr>
        <w:pStyle w:val="BodyReynaers"/>
      </w:pPr>
    </w:p>
    <w:p w14:paraId="0E146C78" w14:textId="77777777" w:rsidR="00E80B32" w:rsidRPr="003D3A33" w:rsidRDefault="00E80B32" w:rsidP="0065632E">
      <w:pPr>
        <w:pStyle w:val="BodyReynaers"/>
      </w:pPr>
    </w:p>
    <w:p w14:paraId="4091E5E6" w14:textId="77777777" w:rsidR="00E349AC" w:rsidRPr="003D3A33" w:rsidRDefault="00E349AC" w:rsidP="0065632E">
      <w:pPr>
        <w:pStyle w:val="BodyReynaers"/>
      </w:pPr>
    </w:p>
    <w:p w14:paraId="6C1DC5DE" w14:textId="26123129" w:rsidR="00F70340" w:rsidRPr="003D3A33" w:rsidRDefault="00F70340" w:rsidP="00264A46">
      <w:pPr>
        <w:pStyle w:val="HeadReynaers"/>
        <w:numPr>
          <w:ilvl w:val="0"/>
          <w:numId w:val="1"/>
        </w:numPr>
        <w:tabs>
          <w:tab w:val="left" w:pos="284"/>
        </w:tabs>
        <w:jc w:val="both"/>
        <w:bidi w:val="0"/>
      </w:pPr>
      <w:r>
        <w:rPr>
          <w:lang w:val="fr-be"/>
          <w:b w:val="1"/>
          <w:bCs w:val="1"/>
          <w:i w:val="0"/>
          <w:iCs w:val="0"/>
          <w:u w:val="none"/>
          <w:vertAlign w:val="baseline"/>
          <w:rtl w:val="0"/>
        </w:rPr>
        <w:t xml:space="preserve">Profilés d’assemblage</w:t>
      </w:r>
    </w:p>
    <w:p w14:paraId="4D3CBEFF" w14:textId="77777777" w:rsidR="00F70340" w:rsidRPr="003D3A33" w:rsidRDefault="00F70340" w:rsidP="00F70340">
      <w:pPr>
        <w:pStyle w:val="BodyReynaers"/>
        <w:jc w:val="both"/>
      </w:pPr>
    </w:p>
    <w:p w14:paraId="2E782576" w14:textId="77777777" w:rsidR="00F70340" w:rsidRPr="003D3A33" w:rsidRDefault="00F70340" w:rsidP="00F70340">
      <w:pPr>
        <w:pStyle w:val="BodyReynaers"/>
        <w:jc w:val="both"/>
        <w:bidi w:val="0"/>
      </w:pPr>
      <w:r>
        <w:rPr>
          <w:lang w:val="fr-be"/>
          <w:b w:val="0"/>
          <w:bCs w:val="0"/>
          <w:i w:val="0"/>
          <w:iCs w:val="0"/>
          <w:u w:val="none"/>
          <w:vertAlign w:val="baseline"/>
          <w:rtl w:val="0"/>
        </w:rPr>
        <w:t xml:space="preserve">Lors de l’assemblage, les meneaux et traverses se chevauchent. Cette méthode permet aux traverses horizontales de drainer dans les meneaux verticaux sans interrompre la chambre de drainage verticale. </w:t>
      </w:r>
    </w:p>
    <w:p w14:paraId="5241FE20" w14:textId="40F8A2C3" w:rsidR="00F70340" w:rsidRPr="003D3A33" w:rsidRDefault="00F70340" w:rsidP="00F70340">
      <w:pPr>
        <w:pStyle w:val="BodyReynaers"/>
        <w:jc w:val="both"/>
        <w:bidi w:val="0"/>
      </w:pPr>
      <w:r>
        <w:rPr>
          <w:lang w:val="fr-be"/>
          <w:b w:val="0"/>
          <w:bCs w:val="0"/>
          <w:i w:val="0"/>
          <w:iCs w:val="0"/>
          <w:u w:val="none"/>
          <w:vertAlign w:val="baseline"/>
          <w:rtl w:val="0"/>
        </w:rPr>
        <w:t xml:space="preserve">Un joint d’assemblage en EPDM est appliqué dans le canal d’étanchéité des meneaux verticaux afin de sceller le chevauchement entre les deux profilés. Les traverses horizontales sont ensuite fixées aux meneaux à l’aide de vis en acier inoxydable dont le serrage assure une bonne étanchéité. Les vis sont ensuite recouvertes par les pièces d’angle du joint de vitrage intérieur. Une jonction-T à ressort est placée à l’intérieur des profilés de traverse horizontaux et ressort dans une ouverture fraisée sur le montant lors du montage de la traverse. De cette manière, la traverse est soutenue aussi bien du côté du vitrage qu’à l’intérieur.</w:t>
      </w:r>
    </w:p>
    <w:p w14:paraId="5568790D" w14:textId="77777777" w:rsidR="00F70340" w:rsidRPr="003D3A33" w:rsidRDefault="00F70340" w:rsidP="00F70340">
      <w:pPr>
        <w:pStyle w:val="BodyinsprongReynaers"/>
        <w:jc w:val="both"/>
      </w:pPr>
    </w:p>
    <w:p w14:paraId="402593D0" w14:textId="21CB99E7" w:rsidR="00CC3A81" w:rsidRPr="003D3A33" w:rsidRDefault="00CC3A81" w:rsidP="00CC3A81">
      <w:pPr>
        <w:pStyle w:val="BodyReynaers"/>
        <w:rPr>
          <w:sz w:val="18"/>
          <w:szCs w:val="18"/>
        </w:rPr>
        <w:sectPr w:rsidR="00CC3A81" w:rsidRPr="003D3A33">
          <w:footerReference w:type="default" r:id="rId13"/>
          <w:type w:val="continuous"/>
          <w:pgSz w:w="11906" w:h="16838"/>
          <w:pgMar w:top="567" w:right="567" w:bottom="851" w:left="1134" w:header="0" w:footer="284" w:gutter="0"/>
          <w:cols w:space="709"/>
        </w:sectPr>
      </w:pPr>
    </w:p>
    <w:p w14:paraId="7CA45F5C" w14:textId="77777777" w:rsidR="00CC3A81" w:rsidRPr="003D3A33" w:rsidRDefault="00CC3A81" w:rsidP="00CC3A81">
      <w:pPr>
        <w:pStyle w:val="BodyReynaers"/>
        <w:rPr>
          <w:sz w:val="18"/>
          <w:szCs w:val="18"/>
        </w:rPr>
      </w:pPr>
    </w:p>
    <w:p w14:paraId="48EB5398" w14:textId="77777777" w:rsidR="005E64E9" w:rsidRPr="003D3A33" w:rsidRDefault="005E64E9" w:rsidP="005E64E9">
      <w:pPr>
        <w:pStyle w:val="BodyReynaers"/>
      </w:pPr>
    </w:p>
    <w:p w14:paraId="291A4E55" w14:textId="77777777" w:rsidR="005B6F58" w:rsidRPr="003D3A33" w:rsidRDefault="005B6F58" w:rsidP="005B6F58">
      <w:pPr>
        <w:pStyle w:val="BodyReynaers"/>
      </w:pPr>
    </w:p>
    <w:p w14:paraId="67054573" w14:textId="77777777" w:rsidR="005B6F58" w:rsidRPr="003D3A33" w:rsidRDefault="005B6F58" w:rsidP="005B6F58">
      <w:pPr>
        <w:pStyle w:val="BodyReynaers"/>
      </w:pPr>
    </w:p>
    <w:p w14:paraId="50462F4F" w14:textId="77777777" w:rsidR="005B6F58" w:rsidRDefault="005B6F58" w:rsidP="005B6F58">
      <w:pPr>
        <w:pStyle w:val="BodyReynaers"/>
      </w:pPr>
    </w:p>
    <w:p w14:paraId="3E2901ED" w14:textId="77777777" w:rsidR="00345654" w:rsidRDefault="00345654" w:rsidP="005B6F58">
      <w:pPr>
        <w:pStyle w:val="BodyReynaers"/>
      </w:pPr>
    </w:p>
    <w:p w14:paraId="7B1DCAC3" w14:textId="77777777" w:rsidR="00345654" w:rsidRPr="003D3A33" w:rsidRDefault="00345654" w:rsidP="005B6F58">
      <w:pPr>
        <w:pStyle w:val="BodyReynaers"/>
      </w:pPr>
    </w:p>
    <w:p w14:paraId="2F91BE12" w14:textId="77777777" w:rsidR="005B6F58" w:rsidRPr="003D3A33" w:rsidRDefault="005B6F58" w:rsidP="005B6F58">
      <w:pPr>
        <w:pStyle w:val="BodyReynaers"/>
      </w:pPr>
    </w:p>
    <w:p w14:paraId="7A14B81A" w14:textId="77777777" w:rsidR="005B6F58" w:rsidRPr="003D3A33" w:rsidRDefault="005B6F58" w:rsidP="005B6F58">
      <w:pPr>
        <w:pStyle w:val="BodyReynaers"/>
      </w:pPr>
    </w:p>
    <w:p w14:paraId="07E7C84B" w14:textId="77777777" w:rsidR="00CC3A81" w:rsidRPr="003D3A33" w:rsidRDefault="00CC3A81" w:rsidP="00CC3A81">
      <w:pPr>
        <w:pStyle w:val="BodyReynaers"/>
      </w:pPr>
    </w:p>
    <w:p w14:paraId="6B10D97C" w14:textId="162164C4" w:rsidR="00F70340" w:rsidRPr="003D3A33" w:rsidRDefault="00F70340" w:rsidP="00F70340">
      <w:pPr>
        <w:pStyle w:val="HeadReynaers"/>
        <w:tabs>
          <w:tab w:val="left" w:pos="284"/>
        </w:tabs>
        <w:ind w:left="0" w:firstLine="0"/>
        <w:jc w:val="both"/>
        <w:bidi w:val="0"/>
      </w:pPr>
      <w:r>
        <w:rPr>
          <w:lang w:val="fr-be"/>
          <w:b w:val="1"/>
          <w:bCs w:val="1"/>
          <w:i w:val="0"/>
          <w:iCs w:val="0"/>
          <w:u w:val="none"/>
          <w:vertAlign w:val="baseline"/>
          <w:rtl w:val="0"/>
        </w:rPr>
        <w:t xml:space="preserve">4.Joints d’étanchéité</w:t>
      </w:r>
    </w:p>
    <w:p w14:paraId="00745619" w14:textId="77777777" w:rsidR="00F70340" w:rsidRPr="003D3A33" w:rsidRDefault="00F70340" w:rsidP="00F70340">
      <w:pPr>
        <w:pStyle w:val="BodyReynaers"/>
        <w:jc w:val="both"/>
      </w:pPr>
    </w:p>
    <w:p w14:paraId="4975B447" w14:textId="79C242E2" w:rsidR="00F70340" w:rsidRPr="003D3A33" w:rsidRDefault="00F70340" w:rsidP="00F70340">
      <w:pPr>
        <w:pStyle w:val="BodyReynaers"/>
        <w:jc w:val="both"/>
        <w:bidi w:val="0"/>
      </w:pPr>
      <w:r>
        <w:rPr>
          <w:lang w:val="fr-be"/>
          <w:b w:val="0"/>
          <w:bCs w:val="0"/>
          <w:i w:val="0"/>
          <w:iCs w:val="0"/>
          <w:u w:val="none"/>
          <w:vertAlign w:val="baseline"/>
          <w:rtl w:val="0"/>
        </w:rPr>
        <w:t xml:space="preserve">Les joints de vitrage ainsi que les manchettes de raccordement sont en EPDM, conformément à la NIT 110.</w:t>
      </w:r>
    </w:p>
    <w:p w14:paraId="4391E797" w14:textId="77777777" w:rsidR="00F70340" w:rsidRPr="003D3A33" w:rsidRDefault="00F70340" w:rsidP="00F70340">
      <w:pPr>
        <w:pStyle w:val="BodyboldReynaers"/>
        <w:jc w:val="both"/>
        <w:bidi w:val="0"/>
      </w:pPr>
      <w:r>
        <w:rPr>
          <w:lang w:val="fr-be"/>
          <w:b w:val="1"/>
          <w:bCs w:val="1"/>
          <w:i w:val="0"/>
          <w:iCs w:val="0"/>
          <w:u w:val="none"/>
          <w:vertAlign w:val="baseline"/>
          <w:rtl w:val="0"/>
        </w:rPr>
        <w:t xml:space="preserve">Joints de vitrage intérieurs</w:t>
      </w:r>
    </w:p>
    <w:p w14:paraId="020EBBE5" w14:textId="67D7D055" w:rsidR="00F70340" w:rsidRPr="003D3A33" w:rsidRDefault="00D72F95" w:rsidP="00F70340">
      <w:pPr>
        <w:pStyle w:val="BodyReynaers"/>
        <w:jc w:val="both"/>
        <w:bidi w:val="0"/>
      </w:pPr>
      <w:r>
        <w:rPr>
          <w:lang w:val="fr-be"/>
          <w:b w:val="0"/>
          <w:bCs w:val="0"/>
          <w:i w:val="0"/>
          <w:iCs w:val="0"/>
          <w:u w:val="none"/>
          <w:vertAlign w:val="baseline"/>
          <w:rtl w:val="0"/>
        </w:rPr>
        <w:t xml:space="preserve">Les joints de vitrage intérieurs ont une épaisseur de 3,5 mm. Les joints sont en forme de L et élargissent le montant de 1,5 m. Le joint est placé à la fois sur le montant et sur la traverse. Les joints sur le montant et la traverse sont reliés entre eux par une pièce d’angle de 50 mm. La pièce d’angle et le joint sont reliés entre eux par de la colle vulcanisante.</w:t>
      </w:r>
    </w:p>
    <w:p w14:paraId="0A4B02BB" w14:textId="77777777" w:rsidR="00F70340" w:rsidRPr="003D3A33" w:rsidRDefault="00F70340" w:rsidP="00F70340">
      <w:pPr>
        <w:pStyle w:val="BodyboldReynaers"/>
        <w:jc w:val="both"/>
        <w:bidi w:val="0"/>
      </w:pPr>
      <w:r>
        <w:rPr>
          <w:lang w:val="fr-be"/>
          <w:b w:val="1"/>
          <w:bCs w:val="1"/>
          <w:i w:val="0"/>
          <w:iCs w:val="0"/>
          <w:u w:val="none"/>
          <w:vertAlign w:val="baseline"/>
          <w:rtl w:val="0"/>
        </w:rPr>
        <w:t xml:space="preserve">Joints de vitrage extérieurs </w:t>
      </w:r>
    </w:p>
    <w:p w14:paraId="7AB47ECC" w14:textId="43A9DDE3" w:rsidR="00F70340" w:rsidRPr="003D3A33" w:rsidRDefault="00F70340" w:rsidP="00F70340">
      <w:pPr>
        <w:pStyle w:val="BodyReynaers"/>
        <w:jc w:val="both"/>
        <w:bidi w:val="0"/>
      </w:pPr>
      <w:r>
        <w:rPr>
          <w:lang w:val="fr-be"/>
          <w:b w:val="0"/>
          <w:bCs w:val="0"/>
          <w:i w:val="0"/>
          <w:iCs w:val="0"/>
          <w:u w:val="none"/>
          <w:vertAlign w:val="baseline"/>
          <w:rtl w:val="0"/>
        </w:rPr>
        <w:t xml:space="preserve">Les petites différences d’épaisseur entre les remplissages (verre ou panneaux) peuvent éventuellement être compensées au moyen de différents caoutchoucs ayant le même aspect. Les différences d’épaisseur plus importantes doivent être compensées par des profilés de compensation placés sur les montants et les traverses.</w:t>
      </w:r>
    </w:p>
    <w:p w14:paraId="7962C3B8" w14:textId="77777777" w:rsidR="00F70340" w:rsidRPr="000064A8" w:rsidRDefault="00F70340" w:rsidP="00020B4B">
      <w:pPr>
        <w:pStyle w:val="HeadReynaers"/>
        <w:ind w:left="0" w:firstLine="0"/>
        <w:rPr>
          <w:sz w:val="20"/>
          <w:szCs w:val="20"/>
        </w:rPr>
      </w:pPr>
    </w:p>
    <w:p w14:paraId="34AD9264" w14:textId="61FA001A" w:rsidR="00D72F95" w:rsidRPr="003D3A33" w:rsidRDefault="00D72F95" w:rsidP="00D72F95">
      <w:pPr>
        <w:pStyle w:val="HeadReynaers"/>
        <w:tabs>
          <w:tab w:val="left" w:pos="284"/>
        </w:tabs>
        <w:ind w:left="0" w:firstLine="0"/>
        <w:jc w:val="both"/>
        <w:bidi w:val="0"/>
      </w:pPr>
      <w:r>
        <w:rPr>
          <w:lang w:val="fr-be"/>
          <w:b w:val="1"/>
          <w:bCs w:val="1"/>
          <w:i w:val="0"/>
          <w:iCs w:val="0"/>
          <w:u w:val="none"/>
          <w:vertAlign w:val="baseline"/>
          <w:rtl w:val="0"/>
        </w:rPr>
        <w:t xml:space="preserve">5.Drainage</w:t>
      </w:r>
    </w:p>
    <w:p w14:paraId="01D5D708" w14:textId="77777777" w:rsidR="00D72F95" w:rsidRPr="003D3A33" w:rsidRDefault="00D72F95" w:rsidP="00D72F95">
      <w:pPr>
        <w:pStyle w:val="BodyReynaers"/>
        <w:jc w:val="both"/>
      </w:pPr>
    </w:p>
    <w:p w14:paraId="36C7D6FA" w14:textId="7C93EE8B" w:rsidR="00D72F95" w:rsidRPr="003D3A33" w:rsidRDefault="00A244A2" w:rsidP="00D72F95">
      <w:pPr>
        <w:pStyle w:val="BodyReynaers"/>
        <w:jc w:val="both"/>
        <w:bidi w:val="0"/>
      </w:pPr>
      <w:r>
        <w:rPr>
          <w:lang w:val="fr-be"/>
          <w:b w:val="0"/>
          <w:bCs w:val="0"/>
          <w:i w:val="0"/>
          <w:iCs w:val="0"/>
          <w:u w:val="none"/>
          <w:vertAlign w:val="baseline"/>
          <w:rtl w:val="0"/>
        </w:rPr>
        <w:t xml:space="preserve">Les profilés de traverse horizontaux s’égouttent dans les profilés verticaux. Une décompression doit être prévue au sommet de la structure afin que l’eau contenue dans les montants soit bien drainée. Une goulotte est toujours placée au-dessus des raccords. Une dalle continue en EPDM est toujours placée au bas du mur-rideau.</w:t>
      </w:r>
    </w:p>
    <w:p w14:paraId="2BC57919" w14:textId="77777777" w:rsidR="00F70340" w:rsidRPr="000064A8" w:rsidRDefault="00F70340" w:rsidP="00020B4B">
      <w:pPr>
        <w:pStyle w:val="HeadReynaers"/>
        <w:ind w:left="0" w:firstLine="0"/>
        <w:rPr>
          <w:sz w:val="20"/>
          <w:szCs w:val="20"/>
        </w:rPr>
      </w:pPr>
    </w:p>
    <w:p w14:paraId="427F3272" w14:textId="7AA04F14" w:rsidR="00A244A2" w:rsidRPr="003D3A33" w:rsidRDefault="00A244A2" w:rsidP="00A244A2">
      <w:pPr>
        <w:pStyle w:val="HeadReynaers"/>
        <w:ind w:left="0" w:firstLine="0"/>
        <w:jc w:val="both"/>
        <w:bidi w:val="0"/>
      </w:pPr>
      <w:r>
        <w:rPr>
          <w:lang w:val="fr-be"/>
          <w:b w:val="1"/>
          <w:bCs w:val="1"/>
          <w:i w:val="0"/>
          <w:iCs w:val="0"/>
          <w:u w:val="none"/>
          <w:vertAlign w:val="baseline"/>
          <w:rtl w:val="0"/>
        </w:rPr>
        <w:t xml:space="preserve">6.Dilatation</w:t>
      </w:r>
    </w:p>
    <w:p w14:paraId="24BF24B8" w14:textId="77777777" w:rsidR="00A244A2" w:rsidRPr="003D3A33" w:rsidRDefault="00A244A2" w:rsidP="00A244A2">
      <w:pPr>
        <w:pStyle w:val="BodyReynaers"/>
        <w:jc w:val="both"/>
      </w:pPr>
    </w:p>
    <w:p w14:paraId="4A18A72E" w14:textId="77777777" w:rsidR="00A244A2" w:rsidRPr="003D3A33" w:rsidRDefault="00A244A2" w:rsidP="00A244A2">
      <w:pPr>
        <w:pStyle w:val="BodyReynaers"/>
        <w:jc w:val="both"/>
        <w:bidi w:val="0"/>
      </w:pPr>
      <w:r>
        <w:rPr>
          <w:lang w:val="fr-be"/>
          <w:b w:val="0"/>
          <w:bCs w:val="0"/>
          <w:i w:val="0"/>
          <w:iCs w:val="0"/>
          <w:u w:val="none"/>
          <w:vertAlign w:val="baseline"/>
          <w:rtl w:val="0"/>
        </w:rPr>
        <w:t xml:space="preserve">Les joints de dilatation verticaux sont réalisés à l’aide d’un profilé de dilatation en aluminium adapté aux dimensions intérieures de la chambre intérieure des différents meneaux. Ils sont insérés dans la chambre intérieure de deux meneaux placés l’un en dessous de l’autre. Le profilé de dilatation est vissé dans le meneau supérieur avec la pièce de raccordement en PVC. Cette pièce de raccordement est ensuite colmatée.</w:t>
      </w:r>
    </w:p>
    <w:p w14:paraId="2ED270E5" w14:textId="77777777" w:rsidR="00A244A2" w:rsidRPr="003D3A33" w:rsidRDefault="00A244A2" w:rsidP="00A244A2">
      <w:pPr>
        <w:pStyle w:val="BodyReynaers"/>
        <w:jc w:val="both"/>
        <w:bidi w:val="0"/>
      </w:pPr>
      <w:r>
        <w:rPr>
          <w:lang w:val="fr-be"/>
          <w:b w:val="0"/>
          <w:bCs w:val="0"/>
          <w:i w:val="0"/>
          <w:iCs w:val="0"/>
          <w:u w:val="none"/>
          <w:vertAlign w:val="baseline"/>
          <w:rtl w:val="0"/>
        </w:rPr>
        <w:t xml:space="preserve">Le joint entre les meneaux est également colmaté avec du silicone pour assurer l’étanchéité entre le meneau et la pièce de raccordement en PVC.</w:t>
      </w:r>
    </w:p>
    <w:p w14:paraId="5A41CB38" w14:textId="77777777" w:rsidR="00A244A2" w:rsidRPr="003D3A33" w:rsidRDefault="00A244A2" w:rsidP="00A244A2">
      <w:pPr>
        <w:pStyle w:val="BodyReynaers"/>
        <w:jc w:val="both"/>
      </w:pPr>
    </w:p>
    <w:p w14:paraId="291E0EDE" w14:textId="3C28B797" w:rsidR="00A244A2" w:rsidRPr="003D3A33" w:rsidRDefault="00111019" w:rsidP="00111019">
      <w:pPr>
        <w:pStyle w:val="HeadReynaers"/>
        <w:ind w:left="0" w:firstLine="0"/>
        <w:jc w:val="both"/>
        <w:bidi w:val="0"/>
      </w:pPr>
      <w:r>
        <w:rPr>
          <w:lang w:val="fr-be"/>
          <w:b w:val="1"/>
          <w:bCs w:val="1"/>
          <w:i w:val="0"/>
          <w:iCs w:val="0"/>
          <w:u w:val="none"/>
          <w:vertAlign w:val="baseline"/>
          <w:rtl w:val="0"/>
        </w:rPr>
        <w:t xml:space="preserve">7.Remplissages fixes</w:t>
      </w:r>
    </w:p>
    <w:p w14:paraId="012D273B" w14:textId="77777777" w:rsidR="00A244A2" w:rsidRPr="003D3A33" w:rsidRDefault="00A244A2" w:rsidP="00A244A2">
      <w:pPr>
        <w:pStyle w:val="BodyReynaers"/>
        <w:jc w:val="both"/>
      </w:pPr>
    </w:p>
    <w:p w14:paraId="7DA6D55E" w14:textId="1A2F3C0C" w:rsidR="00A244A2" w:rsidRPr="003D3A33" w:rsidRDefault="00A244A2" w:rsidP="00A244A2">
      <w:pPr>
        <w:pStyle w:val="BodyReynaers"/>
        <w:jc w:val="both"/>
        <w:bidi w:val="0"/>
      </w:pPr>
      <w:r>
        <w:rPr>
          <w:lang w:val="fr-be"/>
          <w:b w:val="0"/>
          <w:bCs w:val="0"/>
          <w:i w:val="0"/>
          <w:iCs w:val="0"/>
          <w:u w:val="none"/>
          <w:vertAlign w:val="baseline"/>
          <w:rtl w:val="0"/>
        </w:rPr>
        <w:t xml:space="preserve">Le vitrage et/ou les panneaux de remplissage sont montés à l’extérieur sur des supports cale de vitrage en aluminium extrudé, qui sont glissés dans les traverses (2 unités par remplissage). </w:t>
      </w:r>
    </w:p>
    <w:p w14:paraId="0454819F" w14:textId="77777777" w:rsidR="00A244A2" w:rsidRPr="003D3A33" w:rsidRDefault="00A244A2" w:rsidP="00A244A2">
      <w:pPr>
        <w:pStyle w:val="BodyReynaers"/>
        <w:jc w:val="both"/>
        <w:bidi w:val="0"/>
      </w:pPr>
      <w:r>
        <w:rPr>
          <w:lang w:val="fr-be"/>
          <w:b w:val="0"/>
          <w:bCs w:val="0"/>
          <w:i w:val="0"/>
          <w:iCs w:val="0"/>
          <w:u w:val="none"/>
          <w:vertAlign w:val="baseline"/>
          <w:rtl w:val="0"/>
        </w:rPr>
        <w:t xml:space="preserve">Le vitrage et/ou les panneaux de remplissage doivent être ventilés.</w:t>
      </w:r>
    </w:p>
    <w:p w14:paraId="38FD57A6" w14:textId="18930DE4" w:rsidR="00A244A2" w:rsidRPr="003D3A33" w:rsidRDefault="00A244A2" w:rsidP="00A244A2">
      <w:pPr>
        <w:pStyle w:val="BodyReynaers"/>
        <w:jc w:val="both"/>
        <w:bidi w:val="0"/>
      </w:pPr>
      <w:r>
        <w:rPr>
          <w:lang w:val="fr-be"/>
          <w:b w:val="0"/>
          <w:bCs w:val="0"/>
          <w:i w:val="0"/>
          <w:iCs w:val="0"/>
          <w:u w:val="none"/>
          <w:vertAlign w:val="baseline"/>
          <w:rtl w:val="0"/>
        </w:rPr>
        <w:t xml:space="preserve">Pour les grandes différences d’épaisseur, on utilise des profilés de remplissage en aluminium qui sont insérés dans les canaux d’étanchéité des meneaux et dans lesquels les caoutchoucs intérieurs se clipsent. </w:t>
      </w:r>
    </w:p>
    <w:p w14:paraId="7EAE622D" w14:textId="3BE522AB" w:rsidR="00111019" w:rsidRPr="003D3A33" w:rsidRDefault="00111019" w:rsidP="00A244A2">
      <w:pPr>
        <w:pStyle w:val="BodyReynaers"/>
        <w:jc w:val="both"/>
        <w:bidi w:val="0"/>
      </w:pPr>
      <w:r>
        <w:rPr>
          <w:lang w:val="fr-be"/>
          <w:b w:val="0"/>
          <w:bCs w:val="0"/>
          <w:i w:val="0"/>
          <w:iCs w:val="0"/>
          <w:u w:val="none"/>
          <w:vertAlign w:val="baseline"/>
          <w:rtl w:val="0"/>
        </w:rPr>
        <w:t xml:space="preserve">Les remplissages doivent respecter les tolérances autorisées conformément aux prescriptions du système.</w:t>
      </w:r>
    </w:p>
    <w:p w14:paraId="54BB58D4" w14:textId="77777777" w:rsidR="00F70340" w:rsidRPr="000064A8" w:rsidRDefault="00F70340" w:rsidP="00020B4B">
      <w:pPr>
        <w:pStyle w:val="HeadReynaers"/>
        <w:ind w:left="0" w:firstLine="0"/>
        <w:rPr>
          <w:sz w:val="20"/>
          <w:szCs w:val="20"/>
        </w:rPr>
      </w:pPr>
    </w:p>
    <w:p w14:paraId="7A2BB809" w14:textId="57FD232C" w:rsidR="00111019" w:rsidRPr="003D3A33" w:rsidRDefault="00111019" w:rsidP="00111019">
      <w:pPr>
        <w:pStyle w:val="HeadReynaers"/>
        <w:ind w:left="0" w:firstLine="0"/>
        <w:jc w:val="both"/>
        <w:bidi w:val="0"/>
      </w:pPr>
      <w:r>
        <w:rPr>
          <w:lang w:val="fr-be"/>
          <w:b w:val="1"/>
          <w:bCs w:val="1"/>
          <w:i w:val="0"/>
          <w:iCs w:val="0"/>
          <w:u w:val="none"/>
          <w:vertAlign w:val="baseline"/>
          <w:rtl w:val="0"/>
        </w:rPr>
        <w:t xml:space="preserve">8.Parties ouvrantes</w:t>
      </w:r>
    </w:p>
    <w:p w14:paraId="7A401884" w14:textId="77777777" w:rsidR="00111019" w:rsidRPr="003D3A33" w:rsidRDefault="00111019" w:rsidP="00111019">
      <w:pPr>
        <w:pStyle w:val="BodyReynaers"/>
        <w:jc w:val="both"/>
      </w:pPr>
    </w:p>
    <w:p w14:paraId="07F98BD9" w14:textId="77777777" w:rsidR="00111019" w:rsidRPr="003D3A33" w:rsidRDefault="00111019" w:rsidP="00111019">
      <w:pPr>
        <w:pStyle w:val="BodyReynaers"/>
        <w:jc w:val="both"/>
        <w:rPr>
          <w:b/>
        </w:rPr>
        <w:bidi w:val="0"/>
      </w:pPr>
      <w:r>
        <w:rPr>
          <w:lang w:val="fr-be"/>
          <w:b w:val="1"/>
          <w:bCs w:val="1"/>
          <w:i w:val="0"/>
          <w:iCs w:val="0"/>
          <w:u w:val="none"/>
          <w:vertAlign w:val="baseline"/>
          <w:rtl w:val="0"/>
        </w:rPr>
        <w:t xml:space="preserve">Fenêtres, portes et éléments coulissants</w:t>
      </w:r>
    </w:p>
    <w:p w14:paraId="0B76BC1B" w14:textId="77777777" w:rsidR="00111019" w:rsidRPr="003D3A33" w:rsidRDefault="00111019" w:rsidP="00111019">
      <w:pPr>
        <w:pStyle w:val="BodyReynaers"/>
        <w:jc w:val="both"/>
        <w:bidi w:val="0"/>
      </w:pPr>
      <w:r>
        <w:rPr>
          <w:lang w:val="fr-be"/>
          <w:b w:val="0"/>
          <w:bCs w:val="0"/>
          <w:i w:val="0"/>
          <w:iCs w:val="0"/>
          <w:u w:val="none"/>
          <w:vertAlign w:val="baseline"/>
          <w:rtl w:val="0"/>
        </w:rPr>
        <w:t xml:space="preserve">Les fenêtres, les portes et les éléments coulissants sont placés de la même manière que les panneaux de remplissage. </w:t>
      </w:r>
    </w:p>
    <w:p w14:paraId="651B1B18" w14:textId="77777777" w:rsidR="00111019" w:rsidRPr="003D3A33" w:rsidRDefault="00111019" w:rsidP="00111019">
      <w:pPr>
        <w:pStyle w:val="BodyReynaers"/>
        <w:jc w:val="both"/>
        <w:bidi w:val="0"/>
      </w:pPr>
      <w:r>
        <w:rPr>
          <w:lang w:val="fr-be"/>
          <w:b w:val="0"/>
          <w:bCs w:val="0"/>
          <w:i w:val="0"/>
          <w:iCs w:val="0"/>
          <w:u w:val="none"/>
          <w:vertAlign w:val="baseline"/>
          <w:rtl w:val="0"/>
        </w:rPr>
        <w:t xml:space="preserve">Le principe de la rupture thermique est maintenu dans toute la structure.</w:t>
      </w:r>
    </w:p>
    <w:p w14:paraId="5BEB45E7" w14:textId="77777777" w:rsidR="00111019" w:rsidRPr="003D3A33" w:rsidRDefault="00111019" w:rsidP="00111019">
      <w:pPr>
        <w:pStyle w:val="BodyReynaers"/>
        <w:jc w:val="both"/>
        <w:rPr>
          <w:rStyle w:val="Bodybold"/>
        </w:rPr>
        <w:bidi w:val="0"/>
      </w:pPr>
      <w:r>
        <w:rPr>
          <w:lang w:val="fr-be"/>
          <w:b w:val="0"/>
          <w:bCs w:val="0"/>
          <w:i w:val="0"/>
          <w:iCs w:val="0"/>
          <w:u w:val="none"/>
          <w:vertAlign w:val="baseline"/>
          <w:rtl w:val="0"/>
        </w:rPr>
        <w:t xml:space="preserve">Les fenêtres et portes des gammes suivantes peuvent être installées : </w:t>
      </w:r>
    </w:p>
    <w:p w14:paraId="6BE5951E" w14:textId="1541214A" w:rsidR="00111019" w:rsidRPr="003D3A33" w:rsidRDefault="00111019" w:rsidP="00264A46">
      <w:pPr>
        <w:pStyle w:val="BodyinsprongReynaers"/>
        <w:numPr>
          <w:ilvl w:val="0"/>
          <w:numId w:val="4"/>
        </w:numPr>
        <w:ind w:left="284" w:hanging="284"/>
        <w:jc w:val="both"/>
        <w:rPr/>
        <w:bidi w:val="0"/>
      </w:pPr>
      <w:r>
        <w:rPr>
          <w:lang w:val="fr-be"/>
          <w:b w:val="0"/>
          <w:bCs w:val="0"/>
          <w:i w:val="0"/>
          <w:iCs w:val="0"/>
          <w:u w:val="none"/>
          <w:vertAlign w:val="baseline"/>
          <w:rtl w:val="0"/>
        </w:rPr>
        <w:t xml:space="preserve">MasterLine 8</w:t>
      </w:r>
    </w:p>
    <w:p w14:paraId="619696CF" w14:textId="6370D598" w:rsidR="00111019" w:rsidRPr="003D3A33" w:rsidRDefault="00111019" w:rsidP="00264A46">
      <w:pPr>
        <w:pStyle w:val="BodyinsprongReynaers"/>
        <w:numPr>
          <w:ilvl w:val="0"/>
          <w:numId w:val="4"/>
        </w:numPr>
        <w:ind w:left="284" w:hanging="284"/>
        <w:jc w:val="both"/>
        <w:rPr/>
        <w:bidi w:val="0"/>
      </w:pPr>
      <w:r>
        <w:rPr>
          <w:lang w:val="fr-be"/>
          <w:b w:val="0"/>
          <w:bCs w:val="0"/>
          <w:i w:val="0"/>
          <w:iCs w:val="0"/>
          <w:u w:val="none"/>
          <w:vertAlign w:val="baseline"/>
          <w:rtl w:val="0"/>
        </w:rPr>
        <w:t xml:space="preserve">MasterLine 10</w:t>
      </w:r>
    </w:p>
    <w:p w14:paraId="6924673A" w14:textId="47D5F768" w:rsidR="00111019" w:rsidRPr="003D3A33" w:rsidRDefault="00111019" w:rsidP="00264A46">
      <w:pPr>
        <w:pStyle w:val="BodyinsprongReynaers"/>
        <w:numPr>
          <w:ilvl w:val="0"/>
          <w:numId w:val="4"/>
        </w:numPr>
        <w:ind w:left="284" w:hanging="284"/>
        <w:jc w:val="both"/>
        <w:rPr/>
        <w:bidi w:val="0"/>
      </w:pPr>
      <w:r>
        <w:rPr>
          <w:lang w:val="fr-be"/>
          <w:b w:val="0"/>
          <w:bCs w:val="0"/>
          <w:i w:val="0"/>
          <w:iCs w:val="0"/>
          <w:u w:val="none"/>
          <w:vertAlign w:val="baseline"/>
          <w:rtl w:val="0"/>
        </w:rPr>
        <w:t xml:space="preserve">SlimLine 38</w:t>
      </w:r>
    </w:p>
    <w:p w14:paraId="349908B8" w14:textId="5E629613" w:rsidR="00111019" w:rsidRPr="003D3A33" w:rsidRDefault="00111019" w:rsidP="00264A46">
      <w:pPr>
        <w:pStyle w:val="BodyinsprongReynaers"/>
        <w:numPr>
          <w:ilvl w:val="0"/>
          <w:numId w:val="4"/>
        </w:numPr>
        <w:ind w:left="284" w:hanging="284"/>
        <w:jc w:val="both"/>
        <w:rPr/>
        <w:bidi w:val="0"/>
      </w:pPr>
      <w:r>
        <w:rPr>
          <w:lang w:val="fr-be"/>
          <w:b w:val="0"/>
          <w:bCs w:val="0"/>
          <w:i w:val="0"/>
          <w:iCs w:val="0"/>
          <w:u w:val="none"/>
          <w:vertAlign w:val="baseline"/>
          <w:rtl w:val="0"/>
        </w:rPr>
        <w:t xml:space="preserve">ConceptSystem 77</w:t>
      </w:r>
    </w:p>
    <w:p w14:paraId="345B785F" w14:textId="77777777" w:rsidR="00111019" w:rsidRPr="003D3A33" w:rsidRDefault="00111019" w:rsidP="00111019">
      <w:pPr>
        <w:pStyle w:val="BodyReynaers"/>
        <w:jc w:val="both"/>
        <w:rPr/>
      </w:pPr>
    </w:p>
    <w:p w14:paraId="3425B40C" w14:textId="57964877" w:rsidR="00111019" w:rsidRPr="003D3A33" w:rsidRDefault="00111019" w:rsidP="00111019">
      <w:pPr>
        <w:pStyle w:val="BodyReynaers"/>
        <w:jc w:val="both"/>
        <w:bidi w:val="0"/>
      </w:pPr>
      <w:r>
        <w:rPr>
          <w:lang w:val="fr-be"/>
          <w:b w:val="0"/>
          <w:bCs w:val="0"/>
          <w:i w:val="0"/>
          <w:iCs w:val="0"/>
          <w:u w:val="none"/>
          <w:vertAlign w:val="baseline"/>
          <w:rtl w:val="0"/>
        </w:rPr>
        <w:t xml:space="preserve">Ces gammes comprennent un dormant spécial qui peut être facilement inséré dans les profilés du mur-rideau SlimWall 35. Cette application permet de s’assurer que le vitrage des sections ouvrantes se trouve dans le même plan que celui des sections de verre fixes.</w:t>
      </w:r>
    </w:p>
    <w:p w14:paraId="2578FA8A" w14:textId="77777777" w:rsidR="00111019" w:rsidRPr="003D3A33" w:rsidRDefault="00111019" w:rsidP="00111019">
      <w:pPr>
        <w:pStyle w:val="BodyReynaers"/>
        <w:jc w:val="both"/>
      </w:pPr>
    </w:p>
    <w:p w14:paraId="2D30533B" w14:textId="77777777" w:rsidR="00111019" w:rsidRPr="003D3A33" w:rsidRDefault="00111019" w:rsidP="00111019">
      <w:pPr>
        <w:pStyle w:val="BodyReynaers"/>
        <w:jc w:val="both"/>
        <w:rPr>
          <w:rStyle w:val="Bodybold"/>
        </w:rPr>
        <w:bidi w:val="0"/>
      </w:pPr>
      <w:r>
        <w:rPr>
          <w:lang w:val="fr-be"/>
          <w:b w:val="0"/>
          <w:bCs w:val="0"/>
          <w:i w:val="0"/>
          <w:iCs w:val="0"/>
          <w:u w:val="none"/>
          <w:vertAlign w:val="baseline"/>
          <w:rtl w:val="0"/>
        </w:rPr>
        <w:t xml:space="preserve">Les systèmes coulissants suivants peuvent également être intégrés : </w:t>
      </w:r>
    </w:p>
    <w:p w14:paraId="31F5C2C5" w14:textId="13F2C93D" w:rsidR="00111019" w:rsidRPr="003D3A33" w:rsidRDefault="00264A46" w:rsidP="00264A46">
      <w:pPr>
        <w:pStyle w:val="BodyinsprongReynaers"/>
        <w:numPr>
          <w:ilvl w:val="0"/>
          <w:numId w:val="5"/>
        </w:numPr>
        <w:ind w:left="284" w:hanging="284"/>
        <w:jc w:val="both"/>
        <w:bidi w:val="0"/>
      </w:pPr>
      <w:r>
        <w:rPr>
          <w:lang w:val="fr-be"/>
          <w:b w:val="0"/>
          <w:bCs w:val="0"/>
          <w:i w:val="0"/>
          <w:iCs w:val="0"/>
          <w:u w:val="none"/>
          <w:vertAlign w:val="baseline"/>
          <w:rtl w:val="0"/>
        </w:rPr>
        <w:t xml:space="preserve">MasterPatio</w:t>
      </w:r>
    </w:p>
    <w:p w14:paraId="3C3DCC38" w14:textId="12167C02" w:rsidR="00111019" w:rsidRPr="003D3A33" w:rsidRDefault="00111019" w:rsidP="00264A46">
      <w:pPr>
        <w:pStyle w:val="BodyinsprongReynaers"/>
        <w:numPr>
          <w:ilvl w:val="0"/>
          <w:numId w:val="5"/>
        </w:numPr>
        <w:ind w:left="284" w:hanging="284"/>
        <w:jc w:val="both"/>
        <w:bidi w:val="0"/>
      </w:pPr>
      <w:r>
        <w:rPr>
          <w:lang w:val="fr-be"/>
          <w:b w:val="0"/>
          <w:bCs w:val="0"/>
          <w:i w:val="0"/>
          <w:iCs w:val="0"/>
          <w:u w:val="none"/>
          <w:vertAlign w:val="baseline"/>
          <w:rtl w:val="0"/>
        </w:rPr>
        <w:t xml:space="preserve">ConceptPatio 130 (-LS)</w:t>
      </w:r>
    </w:p>
    <w:p w14:paraId="29D05337" w14:textId="0A179A8A" w:rsidR="00111019" w:rsidRPr="003D3A33" w:rsidRDefault="00111019" w:rsidP="00264A46">
      <w:pPr>
        <w:pStyle w:val="BodyinsprongReynaers"/>
        <w:numPr>
          <w:ilvl w:val="0"/>
          <w:numId w:val="5"/>
        </w:numPr>
        <w:ind w:left="284" w:hanging="284"/>
        <w:jc w:val="both"/>
        <w:bidi w:val="0"/>
      </w:pPr>
      <w:r>
        <w:rPr>
          <w:lang w:val="fr-be"/>
          <w:b w:val="0"/>
          <w:bCs w:val="0"/>
          <w:i w:val="0"/>
          <w:iCs w:val="0"/>
          <w:u w:val="none"/>
          <w:vertAlign w:val="baseline"/>
          <w:rtl w:val="0"/>
        </w:rPr>
        <w:t xml:space="preserve">ConceptPatio 155 (-LS)</w:t>
      </w:r>
    </w:p>
    <w:p w14:paraId="38153AC6" w14:textId="77777777" w:rsidR="00111019" w:rsidRPr="003D3A33" w:rsidRDefault="00111019" w:rsidP="00111019">
      <w:pPr>
        <w:pStyle w:val="BodyReynaers"/>
        <w:jc w:val="both"/>
      </w:pPr>
    </w:p>
    <w:p w14:paraId="43B793A9" w14:textId="77777777" w:rsidR="00111019" w:rsidRPr="003D3A33" w:rsidRDefault="00111019" w:rsidP="00111019">
      <w:pPr>
        <w:pStyle w:val="BodyReynaers"/>
        <w:jc w:val="both"/>
      </w:pPr>
    </w:p>
    <w:p w14:paraId="2564AB91" w14:textId="77777777" w:rsidR="00264A46" w:rsidRPr="003D3A33" w:rsidRDefault="00264A46" w:rsidP="00264A46">
      <w:pPr>
        <w:pStyle w:val="BodyboldReynaers"/>
        <w:jc w:val="both"/>
        <w:bidi w:val="0"/>
      </w:pPr>
      <w:r>
        <w:rPr>
          <w:lang w:val="fr-be"/>
          <w:b w:val="1"/>
          <w:bCs w:val="1"/>
          <w:i w:val="0"/>
          <w:iCs w:val="0"/>
          <w:u w:val="none"/>
          <w:vertAlign w:val="baseline"/>
          <w:rtl w:val="0"/>
        </w:rPr>
        <w:t xml:space="preserve">Châssis avec vitrage collé structurel, invisible à l’extérieur du mur-rideau :</w:t>
      </w:r>
    </w:p>
    <w:p w14:paraId="22169F23"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Les parties ouvrantes sont composées de 3 profilés en aluminium.</w:t>
      </w:r>
    </w:p>
    <w:p w14:paraId="58E3C3CD"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 premier constitue le dormant, le second le squelette de l’ouvrant. Ils peuvent être peints ou anodisés dans la teinte de la structure portante. Le troisième sert de support au collage structurel du vitrage et est obligatoirement anodisé en noir.</w:t>
      </w:r>
    </w:p>
    <w:p w14:paraId="6194A606"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 profilé de collage est inséré dans une rainure de l’ouvrant.</w:t>
      </w:r>
    </w:p>
    <w:p w14:paraId="1EB22519"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Les angles sont pressés pneumatiquement et reliés aux profilés en aluminium coupés à l’onglet. Chaque coin du cadre fixe accueille une équerre à sertir et une cale de feuillure spéciale en aluminium.</w:t>
      </w:r>
    </w:p>
    <w:p w14:paraId="3345FFA8" w14:textId="77777777" w:rsidR="00264A46" w:rsidRPr="003D3A33" w:rsidRDefault="00264A46" w:rsidP="00264A46">
      <w:pPr>
        <w:pStyle w:val="BodyReynaers"/>
        <w:jc w:val="both"/>
      </w:pPr>
    </w:p>
    <w:p w14:paraId="0A052FFC"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L’ouverture est de type :</w:t>
      </w:r>
    </w:p>
    <w:p w14:paraId="040E962A" w14:textId="77777777" w:rsidR="00264A46" w:rsidRPr="003D3A33" w:rsidRDefault="00264A46" w:rsidP="00264A46">
      <w:pPr>
        <w:pStyle w:val="BodyReynaers"/>
        <w:numPr>
          <w:ilvl w:val="0"/>
          <w:numId w:val="6"/>
        </w:numPr>
        <w:jc w:val="both"/>
        <w:bidi w:val="0"/>
      </w:pPr>
      <w:r>
        <w:rPr>
          <w:lang w:val="fr-be"/>
          <w:b w:val="0"/>
          <w:bCs w:val="0"/>
          <w:i w:val="0"/>
          <w:iCs w:val="0"/>
          <w:u w:val="none"/>
          <w:vertAlign w:val="baseline"/>
          <w:rtl w:val="0"/>
        </w:rPr>
        <w:t xml:space="preserve">fenêtre ouvrant à l’italienne en saillie vers l’extérieur. Les caissons sont équipés de 2 compas adaptés aux dimensions et au poids des caissons.</w:t>
      </w:r>
    </w:p>
    <w:p w14:paraId="3EA384E7" w14:textId="77777777" w:rsidR="00264A46" w:rsidRPr="003D3A33" w:rsidRDefault="00264A46" w:rsidP="00264A46">
      <w:pPr>
        <w:pStyle w:val="BodyReynaers"/>
        <w:numPr>
          <w:ilvl w:val="0"/>
          <w:numId w:val="6"/>
        </w:numPr>
        <w:jc w:val="both"/>
        <w:bidi w:val="0"/>
      </w:pPr>
      <w:r>
        <w:rPr>
          <w:lang w:val="fr-be"/>
          <w:b w:val="0"/>
          <w:bCs w:val="0"/>
          <w:i w:val="0"/>
          <w:iCs w:val="0"/>
          <w:u w:val="none"/>
          <w:vertAlign w:val="baseline"/>
          <w:rtl w:val="0"/>
        </w:rPr>
        <w:t xml:space="preserve">fenêtre ouvrant en parallèle en saillie vers l’extérieur. Les caissons sont équipés d’au minimum 3 compas, dont un en haut ou en bas. Des compas supplémentaires sont prévus en fonction des dimensions de l’ouvrant, conformément aux directives du fabricant.</w:t>
      </w:r>
    </w:p>
    <w:p w14:paraId="222E5BE0"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 vitrage est collé aux caissons par le fabricant de verre. Le collage est effectué conformément aux directives du fournisseur de colle. </w:t>
      </w:r>
    </w:p>
    <w:p w14:paraId="67875E90"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 poids du verre est absorbé par 2 supports cale de vitrage en aluminium anodisé noir.</w:t>
      </w:r>
    </w:p>
    <w:p w14:paraId="72F87B66"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De l’extérieur, l’aspect de la partie ouvrante et de la partie fixe est pratiquement identique. La différence est un joint en caoutchouc avec deux rabats séparant la vitre du dormant.</w:t>
      </w:r>
    </w:p>
    <w:p w14:paraId="1C879776" w14:textId="77777777" w:rsidR="00F70340" w:rsidRPr="003D3A33" w:rsidRDefault="00F70340" w:rsidP="00020B4B">
      <w:pPr>
        <w:pStyle w:val="HeadReynaers"/>
        <w:ind w:left="0" w:firstLine="0"/>
      </w:pPr>
    </w:p>
    <w:p w14:paraId="697D29C6" w14:textId="59973A4B" w:rsidR="00264A46" w:rsidRPr="003D3A33" w:rsidRDefault="00264A46" w:rsidP="00264A46">
      <w:pPr>
        <w:pStyle w:val="HeadReynaers"/>
        <w:ind w:left="0" w:firstLine="0"/>
        <w:jc w:val="both"/>
        <w:bidi w:val="0"/>
      </w:pPr>
      <w:r>
        <w:rPr>
          <w:lang w:val="fr-be"/>
          <w:b w:val="1"/>
          <w:bCs w:val="1"/>
          <w:i w:val="0"/>
          <w:iCs w:val="0"/>
          <w:u w:val="none"/>
          <w:vertAlign w:val="baseline"/>
          <w:rtl w:val="0"/>
        </w:rPr>
        <w:t xml:space="preserve">9.Pose et ancrages</w:t>
      </w:r>
    </w:p>
    <w:p w14:paraId="01B880A7" w14:textId="77777777" w:rsidR="00264A46" w:rsidRPr="003D3A33" w:rsidRDefault="00264A46" w:rsidP="00264A46">
      <w:pPr>
        <w:pStyle w:val="BodyReynaers"/>
        <w:jc w:val="both"/>
      </w:pPr>
    </w:p>
    <w:p w14:paraId="1E2C337A"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Les meneaux verticaux sont fixés aux éléments structurels du gros œuvre au moyen de pièces d’ancrage adaptées en aluminium ou en acier galvanisé.</w:t>
      </w:r>
    </w:p>
    <w:p w14:paraId="20BF9AA1"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L’ancrage des éléments en aluminium au bâtiment doit être réalisé de manière à absorber les mouvements du bâtiment sans transférer les charges aux structures en aluminium.</w:t>
      </w:r>
    </w:p>
    <w:p w14:paraId="719BCBA8"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En outre, les ancrages sont conçus pour permettre une dilatation libre du mur-rideau. Des ancrages vent et des ancrages poids doivent donc être prévus. </w:t>
      </w:r>
    </w:p>
    <w:p w14:paraId="00E0DC94"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La stabilité des fixations par rapport à leurs charges doit toujours être vérifiée.</w:t>
      </w:r>
    </w:p>
    <w:p w14:paraId="4D7AC6A6"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Il convient de concevoir les fixations en fonction des tolérances applicables à la construction du gros œuvre.</w:t>
      </w:r>
    </w:p>
    <w:p w14:paraId="7A23A093"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Une membrane d’étanchéité en EPDM, placée entre le gros œuvre et le niveau de drainage du mur-rideau doit assurer l’étanchéité à l’eau et au vent. Une attention particulière doit être accordée à la mise en place correcte de ces membranes dans les coins afin que l’ensemble reste étanche.</w:t>
      </w:r>
    </w:p>
    <w:p w14:paraId="43D41DA4"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À la base de la structure en aluminium, la membrane d’étanchéité doit drainer toute eau d’infiltration pénétrant dans les meneaux verticaux. Un fraisage derrière le canal de drainage du meneau garantit que la membrane est serrée derrière le canal de drainage et draine ainsi l’eau d’infiltration.</w:t>
      </w:r>
    </w:p>
    <w:p w14:paraId="3B81E855" w14:textId="77777777" w:rsidR="00264A46" w:rsidRPr="003D3A33" w:rsidRDefault="00264A46" w:rsidP="00264A46">
      <w:pPr>
        <w:pStyle w:val="BodyReynaers"/>
        <w:jc w:val="both"/>
      </w:pPr>
    </w:p>
    <w:p w14:paraId="01BAD0DC" w14:textId="42DDF959" w:rsidR="00264A46" w:rsidRPr="003D3A33" w:rsidRDefault="00264A46" w:rsidP="00264A46">
      <w:pPr>
        <w:pStyle w:val="BodyReynaers"/>
        <w:jc w:val="both"/>
        <w:bidi w:val="0"/>
      </w:pPr>
      <w:r>
        <w:rPr>
          <w:lang w:val="fr-be"/>
          <w:b w:val="0"/>
          <w:bCs w:val="0"/>
          <w:i w:val="0"/>
          <w:iCs w:val="0"/>
          <w:u w:val="none"/>
          <w:vertAlign w:val="baseline"/>
          <w:rtl w:val="0"/>
        </w:rPr>
        <w:t xml:space="preserve">Des profilés d’écartement adaptés, constitués d’un matériau inerte à conductivité thermique limitée et d’une épaisseur similaire à celle du matériau de remplissage du mur-rideau, assurent le positionnement correct des serreurs et des capuchons autour de la structure en aluminium.</w:t>
      </w:r>
    </w:p>
    <w:p w14:paraId="76EB4270" w14:textId="77777777" w:rsidR="00264A46" w:rsidRPr="003D3A33" w:rsidRDefault="00264A46" w:rsidP="00264A46">
      <w:pPr>
        <w:pStyle w:val="BodyReynaers"/>
        <w:jc w:val="both"/>
      </w:pPr>
    </w:p>
    <w:p w14:paraId="3A60BD93" w14:textId="77777777" w:rsidR="00264A46" w:rsidRPr="003D3A33" w:rsidRDefault="00264A46" w:rsidP="00264A46">
      <w:pPr>
        <w:pStyle w:val="BodyReynaers"/>
        <w:jc w:val="both"/>
      </w:pPr>
    </w:p>
    <w:p w14:paraId="2C5576C3" w14:textId="77777777" w:rsidR="00264A46" w:rsidRPr="003D3A33" w:rsidRDefault="00264A46" w:rsidP="00264A46">
      <w:pPr>
        <w:pStyle w:val="BodyReynaers"/>
        <w:jc w:val="both"/>
        <w:bidi w:val="0"/>
      </w:pPr>
      <w:r>
        <w:rPr>
          <w:lang w:val="fr-be"/>
          <w:b w:val="0"/>
          <w:bCs w:val="0"/>
          <w:i w:val="0"/>
          <w:iCs w:val="0"/>
          <w:u w:val="none"/>
          <w:vertAlign w:val="baseline"/>
          <w:rtl w:val="0"/>
        </w:rPr>
        <w:t xml:space="preserve">À l’extérieur de la structure du mur-rideau, les raccordements au bâtiment dépendent de la nature du bâtiment et des matériaux utilisés.</w:t>
      </w:r>
    </w:p>
    <w:p w14:paraId="65B9DFD1" w14:textId="1BE04F18" w:rsidR="00264A46" w:rsidRPr="003D3A33" w:rsidRDefault="00264A46" w:rsidP="00264A46">
      <w:pPr>
        <w:pStyle w:val="BodyReynaers"/>
        <w:jc w:val="both"/>
        <w:bidi w:val="0"/>
      </w:pPr>
      <w:r>
        <w:rPr>
          <w:lang w:val="fr-be"/>
          <w:b w:val="0"/>
          <w:bCs w:val="0"/>
          <w:i w:val="0"/>
          <w:iCs w:val="0"/>
          <w:u w:val="none"/>
          <w:vertAlign w:val="baseline"/>
          <w:rtl w:val="0"/>
        </w:rPr>
        <w:t xml:space="preserve">En cas d’utilisation d’un profilé en aluminium (profilé standard ou plaque plissée), une bande de jointoiement et un mastic élastique doivent toujours être appliqués sur le joint.</w:t>
      </w:r>
    </w:p>
    <w:sectPr w:rsidR="00264A46" w:rsidRPr="003D3A33" w:rsidSect="00C7517D">
      <w:footerReference w:type="default" r:id="rId14"/>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5CC4" w14:textId="77777777" w:rsidR="008A7554" w:rsidRDefault="008A7554">
      <w:pPr>
        <w:bidi w:val="0"/>
      </w:pPr>
      <w:r>
        <w:separator/>
      </w:r>
    </w:p>
  </w:endnote>
  <w:endnote w:type="continuationSeparator" w:id="0">
    <w:p w14:paraId="211B5A30" w14:textId="77777777" w:rsidR="008A7554" w:rsidRDefault="008A7554">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C741" w14:textId="2581EB4E" w:rsidR="00E06126" w:rsidRPr="00501BFE" w:rsidRDefault="00E06126" w:rsidP="00804B8B">
    <w:pPr>
      <w:pStyle w:val="BodyReynaers"/>
      <w:rPr>
        <w:sz w:val="18"/>
        <w:szCs w:val="18"/>
      </w:rPr>
      <w:bidi w:val="0"/>
    </w:pPr>
    <w:r>
      <w:rPr>
        <w:lang w:val="fr-be"/>
        <w:b w:val="1"/>
        <w:bCs w:val="1"/>
        <w:i w:val="0"/>
        <w:iCs w:val="0"/>
        <w:u w:val="none"/>
        <w:vertAlign w:val="baseline"/>
        <w:rtl w:val="0"/>
      </w:rPr>
      <w:t xml:space="preserve">* </w:t>
    </w:r>
    <w:r>
      <w:rPr>
        <w:lang w:val="fr-be"/>
        <w:b w:val="0"/>
        <w:bCs w:val="0"/>
        <w:i w:val="0"/>
        <w:iCs w:val="0"/>
        <w:u w:val="none"/>
        <w:vertAlign w:val="baseline"/>
        <w:rtl w:val="0"/>
      </w:rPr>
      <w:t xml:space="preserve">: à déterminer</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       </w:t>
    </w:r>
    <w:r>
      <w:rPr>
        <w:sz w:val="18"/>
        <w:szCs w:val="18"/>
        <w:lang w:val="fr-be"/>
        <w:b w:val="0"/>
        <w:bCs w:val="0"/>
        <w:i w:val="0"/>
        <w:iCs w:val="0"/>
        <w:u w:val="none"/>
        <w:vertAlign w:val="baseline"/>
        <w:rtl w:val="0"/>
      </w:rPr>
      <w:t xml:space="preserve">SW35</w:t>
    </w:r>
  </w:p>
  <w:p w14:paraId="6D6CD171" w14:textId="77777777" w:rsidR="00E06126" w:rsidRPr="00501BFE" w:rsidRDefault="00E06126" w:rsidP="00804B8B">
    <w:pPr>
      <w:ind w:left="9214"/>
      <w:jc w:val="center"/>
      <w:rPr>
        <w:rFonts w:ascii="Arial" w:hAnsi="Arial" w:cs="Arial"/>
        <w:sz w:val="18"/>
        <w:szCs w:val="18"/>
      </w:rPr>
      <w:bidi w:val="0"/>
    </w:pPr>
    <w:r>
      <w:rPr>
        <w:rFonts w:ascii="Arial" w:cs="Arial" w:hAnsi="Arial"/>
        <w:sz w:val="18"/>
        <w:szCs w:val="18"/>
        <w:lang w:val="fr-be"/>
        <w:b w:val="0"/>
        <w:bCs w:val="0"/>
        <w:i w:val="0"/>
        <w:iCs w:val="0"/>
        <w:u w:val="none"/>
        <w:vertAlign w:val="baseline"/>
        <w:rtl w:val="0"/>
      </w:rPr>
      <w:t xml:space="preserve">              0</w:t>
    </w:r>
    <w:r>
      <w:rPr>
        <w:rFonts w:ascii="Arial" w:cs="Arial" w:hAnsi="Arial"/>
        <w:sz w:val="18"/>
        <w:szCs w:val="18"/>
        <w:lang w:val="fr-be"/>
        <w:b w:val="0"/>
        <w:bCs w:val="0"/>
        <w:i w:val="0"/>
        <w:iCs w:val="0"/>
        <w:u w:val="none"/>
        <w:vertAlign w:val="baseline"/>
        <w:rtl w:val="0"/>
      </w:rPr>
      <w:fldChar w:fldCharType="begin"/>
    </w:r>
    <w:r>
      <w:rPr>
        <w:rFonts w:ascii="Arial" w:cs="Arial" w:hAnsi="Arial"/>
        <w:sz w:val="18"/>
        <w:szCs w:val="18"/>
        <w:lang w:val="fr-be"/>
        <w:b w:val="0"/>
        <w:bCs w:val="0"/>
        <w:i w:val="0"/>
        <w:iCs w:val="0"/>
        <w:u w:val="none"/>
        <w:vertAlign w:val="baseline"/>
        <w:rtl w:val="0"/>
      </w:rPr>
      <w:instrText xml:space="preserve"> PAGE </w:instrText>
    </w:r>
    <w:r>
      <w:rPr>
        <w:rFonts w:ascii="Arial" w:cs="Arial" w:hAnsi="Arial"/>
        <w:sz w:val="18"/>
        <w:szCs w:val="18"/>
        <w:lang w:val="fr-be"/>
        <w:b w:val="0"/>
        <w:bCs w:val="0"/>
        <w:i w:val="0"/>
        <w:iCs w:val="0"/>
        <w:u w:val="none"/>
        <w:vertAlign w:val="baseline"/>
        <w:rtl w:val="0"/>
      </w:rPr>
      <w:fldChar w:fldCharType="separate"/>
    </w:r>
    <w:r>
      <w:rPr>
        <w:rFonts w:ascii="Arial" w:cs="Arial" w:hAnsi="Arial"/>
        <w:noProof/>
        <w:sz w:val="18"/>
        <w:szCs w:val="18"/>
        <w:lang w:val="fr-be"/>
        <w:b w:val="0"/>
        <w:bCs w:val="0"/>
        <w:i w:val="0"/>
        <w:iCs w:val="0"/>
        <w:u w:val="none"/>
        <w:vertAlign w:val="baseline"/>
        <w:rtl w:val="0"/>
      </w:rPr>
      <w:t xml:space="preserve">2</w:t>
    </w:r>
    <w:r>
      <w:rPr>
        <w:rFonts w:ascii="Arial" w:cs="Arial" w:hAnsi="Arial"/>
        <w:sz w:val="18"/>
        <w:szCs w:val="18"/>
        <w:lang w:val="fr-be"/>
        <w:b w:val="0"/>
        <w:bCs w:val="0"/>
        <w:i w:val="0"/>
        <w:iCs w:val="0"/>
        <w:u w:val="none"/>
        <w:vertAlign w:val="baseline"/>
        <w:rtl w:val="0"/>
      </w:rPr>
      <w:fldChar w:fldCharType="end"/>
    </w:r>
  </w:p>
  <w:p w14:paraId="02ABCB2C" w14:textId="77777777" w:rsidR="00E06126" w:rsidRDefault="00E06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09B6" w14:textId="77777777" w:rsidR="00E06126" w:rsidRPr="00501BFE" w:rsidRDefault="00E06126" w:rsidP="00804B8B">
    <w:pPr>
      <w:pStyle w:val="BodyReynaers"/>
      <w:rPr>
        <w:sz w:val="18"/>
        <w:szCs w:val="18"/>
      </w:rPr>
      <w:bidi w:val="0"/>
    </w:pPr>
    <w:r>
      <w:rPr>
        <w:lang w:val="fr-be"/>
        <w:b w:val="1"/>
        <w:bCs w:val="1"/>
        <w:i w:val="0"/>
        <w:iCs w:val="0"/>
        <w:u w:val="none"/>
        <w:vertAlign w:val="baseline"/>
        <w:rtl w:val="0"/>
      </w:rPr>
      <w:t xml:space="preserve">* </w:t>
    </w:r>
    <w:r>
      <w:rPr>
        <w:lang w:val="fr-be"/>
        <w:b w:val="0"/>
        <w:bCs w:val="0"/>
        <w:i w:val="0"/>
        <w:iCs w:val="0"/>
        <w:u w:val="none"/>
        <w:vertAlign w:val="baseline"/>
        <w:rtl w:val="0"/>
      </w:rPr>
      <w:t xml:space="preserve">: à déterminer</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sz w:val="18"/>
        <w:szCs w:val="18"/>
        <w:lang w:val="fr-be"/>
        <w:b w:val="0"/>
        <w:bCs w:val="0"/>
        <w:i w:val="0"/>
        <w:iCs w:val="0"/>
        <w:u w:val="none"/>
        <w:vertAlign w:val="baseline"/>
        <w:rtl w:val="0"/>
      </w:rPr>
      <w:t xml:space="preserve">           Masterline 8</w:t>
    </w:r>
  </w:p>
  <w:p w14:paraId="3B7D6388" w14:textId="77777777" w:rsidR="00E06126" w:rsidRPr="00501BFE" w:rsidRDefault="00E06126" w:rsidP="00804B8B">
    <w:pPr>
      <w:ind w:left="9214"/>
      <w:jc w:val="center"/>
      <w:rPr>
        <w:rFonts w:ascii="Arial" w:hAnsi="Arial" w:cs="Arial"/>
        <w:sz w:val="18"/>
        <w:szCs w:val="18"/>
      </w:rPr>
      <w:bidi w:val="0"/>
    </w:pPr>
    <w:r>
      <w:rPr>
        <w:rFonts w:ascii="Arial" w:cs="Arial" w:hAnsi="Arial"/>
        <w:sz w:val="18"/>
        <w:szCs w:val="18"/>
        <w:lang w:val="fr-be"/>
        <w:b w:val="0"/>
        <w:bCs w:val="0"/>
        <w:i w:val="0"/>
        <w:iCs w:val="0"/>
        <w:u w:val="none"/>
        <w:vertAlign w:val="baseline"/>
        <w:rtl w:val="0"/>
      </w:rPr>
      <w:t xml:space="preserve">              0</w:t>
    </w:r>
    <w:r>
      <w:rPr>
        <w:rFonts w:ascii="Arial" w:cs="Arial" w:hAnsi="Arial"/>
        <w:sz w:val="18"/>
        <w:szCs w:val="18"/>
        <w:lang w:val="fr-be"/>
        <w:b w:val="0"/>
        <w:bCs w:val="0"/>
        <w:i w:val="0"/>
        <w:iCs w:val="0"/>
        <w:u w:val="none"/>
        <w:vertAlign w:val="baseline"/>
        <w:rtl w:val="0"/>
      </w:rPr>
      <w:fldChar w:fldCharType="begin"/>
    </w:r>
    <w:r>
      <w:rPr>
        <w:rFonts w:ascii="Arial" w:cs="Arial" w:hAnsi="Arial"/>
        <w:sz w:val="18"/>
        <w:szCs w:val="18"/>
        <w:lang w:val="fr-be"/>
        <w:b w:val="0"/>
        <w:bCs w:val="0"/>
        <w:i w:val="0"/>
        <w:iCs w:val="0"/>
        <w:u w:val="none"/>
        <w:vertAlign w:val="baseline"/>
        <w:rtl w:val="0"/>
      </w:rPr>
      <w:instrText xml:space="preserve"> PAGE </w:instrText>
    </w:r>
    <w:r>
      <w:rPr>
        <w:rFonts w:ascii="Arial" w:cs="Arial" w:hAnsi="Arial"/>
        <w:sz w:val="18"/>
        <w:szCs w:val="18"/>
        <w:lang w:val="fr-be"/>
        <w:b w:val="0"/>
        <w:bCs w:val="0"/>
        <w:i w:val="0"/>
        <w:iCs w:val="0"/>
        <w:u w:val="none"/>
        <w:vertAlign w:val="baseline"/>
        <w:rtl w:val="0"/>
      </w:rPr>
      <w:fldChar w:fldCharType="separate"/>
    </w:r>
    <w:r>
      <w:rPr>
        <w:rFonts w:ascii="Arial" w:cs="Arial" w:hAnsi="Arial"/>
        <w:noProof/>
        <w:sz w:val="18"/>
        <w:szCs w:val="18"/>
        <w:lang w:val="fr-be"/>
        <w:b w:val="0"/>
        <w:bCs w:val="0"/>
        <w:i w:val="0"/>
        <w:iCs w:val="0"/>
        <w:u w:val="none"/>
        <w:vertAlign w:val="baseline"/>
        <w:rtl w:val="0"/>
      </w:rPr>
      <w:t xml:space="preserve">3</w:t>
    </w:r>
    <w:r>
      <w:rPr>
        <w:rFonts w:ascii="Arial" w:cs="Arial" w:hAnsi="Arial"/>
        <w:sz w:val="18"/>
        <w:szCs w:val="18"/>
        <w:lang w:val="fr-be"/>
        <w:b w:val="0"/>
        <w:bCs w:val="0"/>
        <w:i w:val="0"/>
        <w:iCs w:val="0"/>
        <w:u w:val="none"/>
        <w:vertAlign w:val="baseline"/>
        <w:rtl w:val="0"/>
      </w:rPr>
      <w:fldChar w:fldCharType="end"/>
    </w:r>
  </w:p>
  <w:p w14:paraId="54603F22" w14:textId="77777777" w:rsidR="00E06126" w:rsidRPr="00804B8B" w:rsidRDefault="00E06126" w:rsidP="00804B8B">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3B1E" w14:textId="4011A414" w:rsidR="00E06126" w:rsidRPr="00501BFE" w:rsidRDefault="00E06126" w:rsidP="00804B8B">
    <w:pPr>
      <w:pStyle w:val="BodyReynaers"/>
      <w:rPr>
        <w:sz w:val="18"/>
        <w:szCs w:val="18"/>
      </w:rPr>
      <w:bidi w:val="0"/>
    </w:pPr>
    <w:r>
      <w:rPr>
        <w:lang w:val="fr-be"/>
        <w:b w:val="1"/>
        <w:bCs w:val="1"/>
        <w:i w:val="0"/>
        <w:iCs w:val="0"/>
        <w:u w:val="none"/>
        <w:vertAlign w:val="baseline"/>
        <w:rtl w:val="0"/>
      </w:rPr>
      <w:t xml:space="preserve">* </w:t>
    </w:r>
    <w:r>
      <w:rPr>
        <w:lang w:val="fr-be"/>
        <w:b w:val="0"/>
        <w:bCs w:val="0"/>
        <w:i w:val="0"/>
        <w:iCs w:val="0"/>
        <w:u w:val="none"/>
        <w:vertAlign w:val="baseline"/>
        <w:rtl w:val="0"/>
      </w:rPr>
      <w:t xml:space="preserve">: à déterminer</w:t>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ab/>
    </w:r>
    <w:r>
      <w:rPr>
        <w:lang w:val="fr-be"/>
        <w:b w:val="0"/>
        <w:bCs w:val="0"/>
        <w:i w:val="0"/>
        <w:iCs w:val="0"/>
        <w:u w:val="none"/>
        <w:vertAlign w:val="baseline"/>
        <w:rtl w:val="0"/>
      </w:rPr>
      <w:t xml:space="preserve">       </w:t>
    </w:r>
    <w:r>
      <w:rPr>
        <w:sz w:val="18"/>
        <w:szCs w:val="18"/>
        <w:lang w:val="fr-be"/>
        <w:b w:val="0"/>
        <w:bCs w:val="0"/>
        <w:i w:val="0"/>
        <w:iCs w:val="0"/>
        <w:u w:val="none"/>
        <w:vertAlign w:val="baseline"/>
        <w:rtl w:val="0"/>
      </w:rPr>
      <w:t xml:space="preserve">SW35</w:t>
    </w:r>
  </w:p>
  <w:p w14:paraId="1A63AC17" w14:textId="77777777" w:rsidR="00E06126" w:rsidRPr="00501BFE" w:rsidRDefault="00E06126" w:rsidP="00804B8B">
    <w:pPr>
      <w:ind w:left="9214"/>
      <w:jc w:val="center"/>
      <w:rPr>
        <w:rFonts w:ascii="Arial" w:hAnsi="Arial" w:cs="Arial"/>
        <w:sz w:val="18"/>
        <w:szCs w:val="18"/>
      </w:rPr>
      <w:bidi w:val="0"/>
    </w:pPr>
    <w:r>
      <w:rPr>
        <w:rFonts w:ascii="Arial" w:cs="Arial" w:hAnsi="Arial"/>
        <w:sz w:val="18"/>
        <w:szCs w:val="18"/>
        <w:lang w:val="fr-be"/>
        <w:b w:val="0"/>
        <w:bCs w:val="0"/>
        <w:i w:val="0"/>
        <w:iCs w:val="0"/>
        <w:u w:val="none"/>
        <w:vertAlign w:val="baseline"/>
        <w:rtl w:val="0"/>
      </w:rPr>
      <w:t xml:space="preserve">              0</w:t>
    </w:r>
    <w:r>
      <w:rPr>
        <w:rFonts w:ascii="Arial" w:cs="Arial" w:hAnsi="Arial"/>
        <w:sz w:val="18"/>
        <w:szCs w:val="18"/>
        <w:lang w:val="fr-be"/>
        <w:b w:val="0"/>
        <w:bCs w:val="0"/>
        <w:i w:val="0"/>
        <w:iCs w:val="0"/>
        <w:u w:val="none"/>
        <w:vertAlign w:val="baseline"/>
        <w:rtl w:val="0"/>
      </w:rPr>
      <w:fldChar w:fldCharType="begin"/>
    </w:r>
    <w:r>
      <w:rPr>
        <w:rFonts w:ascii="Arial" w:cs="Arial" w:hAnsi="Arial"/>
        <w:sz w:val="18"/>
        <w:szCs w:val="18"/>
        <w:lang w:val="fr-be"/>
        <w:b w:val="0"/>
        <w:bCs w:val="0"/>
        <w:i w:val="0"/>
        <w:iCs w:val="0"/>
        <w:u w:val="none"/>
        <w:vertAlign w:val="baseline"/>
        <w:rtl w:val="0"/>
      </w:rPr>
      <w:instrText xml:space="preserve"> PAGE </w:instrText>
    </w:r>
    <w:r>
      <w:rPr>
        <w:rFonts w:ascii="Arial" w:cs="Arial" w:hAnsi="Arial"/>
        <w:sz w:val="18"/>
        <w:szCs w:val="18"/>
        <w:lang w:val="fr-be"/>
        <w:b w:val="0"/>
        <w:bCs w:val="0"/>
        <w:i w:val="0"/>
        <w:iCs w:val="0"/>
        <w:u w:val="none"/>
        <w:vertAlign w:val="baseline"/>
        <w:rtl w:val="0"/>
      </w:rPr>
      <w:fldChar w:fldCharType="separate"/>
    </w:r>
    <w:r>
      <w:rPr>
        <w:rFonts w:ascii="Arial" w:cs="Arial" w:hAnsi="Arial"/>
        <w:noProof/>
        <w:sz w:val="18"/>
        <w:szCs w:val="18"/>
        <w:lang w:val="fr-be"/>
        <w:b w:val="0"/>
        <w:bCs w:val="0"/>
        <w:i w:val="0"/>
        <w:iCs w:val="0"/>
        <w:u w:val="none"/>
        <w:vertAlign w:val="baseline"/>
        <w:rtl w:val="0"/>
      </w:rPr>
      <w:t xml:space="preserve">13</w:t>
    </w:r>
    <w:r>
      <w:rPr>
        <w:rFonts w:ascii="Arial" w:cs="Arial" w:hAnsi="Arial"/>
        <w:sz w:val="18"/>
        <w:szCs w:val="18"/>
        <w:lang w:val="fr-be"/>
        <w:b w:val="0"/>
        <w:bCs w:val="0"/>
        <w:i w:val="0"/>
        <w:iCs w:val="0"/>
        <w:u w:val="none"/>
        <w:vertAlign w:val="baseline"/>
        <w:rtl w:val="0"/>
      </w:rPr>
      <w:fldChar w:fldCharType="end"/>
    </w:r>
  </w:p>
  <w:p w14:paraId="7CCDBF0D" w14:textId="77777777" w:rsidR="00E06126" w:rsidRPr="00804B8B" w:rsidRDefault="00E06126"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57ED9" w14:textId="77777777" w:rsidR="008A7554" w:rsidRDefault="008A7554">
      <w:pPr>
        <w:bidi w:val="0"/>
      </w:pPr>
      <w:r>
        <w:separator/>
      </w:r>
    </w:p>
  </w:footnote>
  <w:footnote w:type="continuationSeparator" w:id="0">
    <w:p w14:paraId="5501FD15" w14:textId="77777777" w:rsidR="008A7554" w:rsidRDefault="008A7554">
      <w:pPr>
        <w:bidi w:val="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3A98" w14:textId="66565FEA" w:rsidR="00E06126" w:rsidRDefault="0090056C">
    <w:pPr>
      <w:pStyle w:val="Header"/>
      <w:bidi w:val="0"/>
    </w:pPr>
    <w:r>
      <w:rPr>
        <w:lang w:val="fr-be"/>
        <w:b w:val="0"/>
        <w:bCs w:val="0"/>
        <w:i w:val="0"/>
        <w:iCs w:val="0"/>
        <w:u w:val="none"/>
        <w:vertAlign w:val="baseline"/>
        <w:rtl w:val="0"/>
      </w:rPr>
      <w:t xml:space="preserve">1/2024</w:t>
    </w:r>
  </w:p>
  <w:p w14:paraId="1913BAAF" w14:textId="77777777" w:rsidR="0090056C" w:rsidRDefault="00900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C2ABD"/>
    <w:multiLevelType w:val="hybridMultilevel"/>
    <w:tmpl w:val="8654CB78"/>
    <w:lvl w:ilvl="0" w:tplc="08130005">
      <w:start w:val="1"/>
      <w:numFmt w:val="bullet"/>
      <w:lvlText w:val=""/>
      <w:lvlJc w:val="left"/>
      <w:pPr>
        <w:ind w:left="436" w:hanging="360"/>
      </w:pPr>
      <w:rPr>
        <w:rFonts w:ascii="Wingdings" w:hAnsi="Wingdings" w:hint="default"/>
      </w:rPr>
    </w:lvl>
    <w:lvl w:ilvl="1" w:tplc="08130003">
      <w:start w:val="1"/>
      <w:numFmt w:val="bullet"/>
      <w:lvlText w:val="o"/>
      <w:lvlJc w:val="left"/>
      <w:pPr>
        <w:ind w:left="1156" w:hanging="360"/>
      </w:pPr>
      <w:rPr>
        <w:rFonts w:ascii="Courier New" w:hAnsi="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 w15:restartNumberingAfterBreak="0">
    <w:nsid w:val="211305DE"/>
    <w:multiLevelType w:val="hybridMultilevel"/>
    <w:tmpl w:val="BB94B300"/>
    <w:lvl w:ilvl="0" w:tplc="2376CCF0">
      <w:start w:val="2000"/>
      <w:numFmt w:val="decimal"/>
      <w:lvlText w:val="%1"/>
      <w:lvlJc w:val="left"/>
      <w:pPr>
        <w:ind w:left="780" w:hanging="4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6DB91710"/>
    <w:multiLevelType w:val="hybridMultilevel"/>
    <w:tmpl w:val="2398BF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1BF7365"/>
    <w:multiLevelType w:val="hybridMultilevel"/>
    <w:tmpl w:val="EB3C1D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D812D8"/>
    <w:multiLevelType w:val="hybridMultilevel"/>
    <w:tmpl w:val="8AEC23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3E57182"/>
    <w:multiLevelType w:val="hybridMultilevel"/>
    <w:tmpl w:val="9850D738"/>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7111609">
    <w:abstractNumId w:val="2"/>
  </w:num>
  <w:num w:numId="2" w16cid:durableId="449738418">
    <w:abstractNumId w:val="4"/>
  </w:num>
  <w:num w:numId="3" w16cid:durableId="698042656">
    <w:abstractNumId w:val="1"/>
  </w:num>
  <w:num w:numId="4" w16cid:durableId="1421565013">
    <w:abstractNumId w:val="3"/>
  </w:num>
  <w:num w:numId="5" w16cid:durableId="2021276044">
    <w:abstractNumId w:val="5"/>
  </w:num>
  <w:num w:numId="6" w16cid:durableId="1425373025">
    <w:abstractNumId w:val="6"/>
  </w:num>
  <w:num w:numId="7" w16cid:durableId="16864266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D04"/>
    <w:rsid w:val="000064A8"/>
    <w:rsid w:val="00013CB1"/>
    <w:rsid w:val="00020B4B"/>
    <w:rsid w:val="00034DBB"/>
    <w:rsid w:val="00050067"/>
    <w:rsid w:val="00072505"/>
    <w:rsid w:val="000734B4"/>
    <w:rsid w:val="00077FD7"/>
    <w:rsid w:val="000936E0"/>
    <w:rsid w:val="000A3B48"/>
    <w:rsid w:val="000B134E"/>
    <w:rsid w:val="000C7E9C"/>
    <w:rsid w:val="000D1F1C"/>
    <w:rsid w:val="000D4F3B"/>
    <w:rsid w:val="000D6767"/>
    <w:rsid w:val="000E1084"/>
    <w:rsid w:val="000E38F5"/>
    <w:rsid w:val="000F01AF"/>
    <w:rsid w:val="000F2646"/>
    <w:rsid w:val="000F4686"/>
    <w:rsid w:val="00111019"/>
    <w:rsid w:val="001229A3"/>
    <w:rsid w:val="0013417F"/>
    <w:rsid w:val="00135104"/>
    <w:rsid w:val="00153434"/>
    <w:rsid w:val="00185113"/>
    <w:rsid w:val="001920B0"/>
    <w:rsid w:val="00197600"/>
    <w:rsid w:val="001B05F0"/>
    <w:rsid w:val="001D044E"/>
    <w:rsid w:val="001D37B8"/>
    <w:rsid w:val="001E241A"/>
    <w:rsid w:val="001F62E1"/>
    <w:rsid w:val="001F65AD"/>
    <w:rsid w:val="00201BDA"/>
    <w:rsid w:val="00206EFE"/>
    <w:rsid w:val="00215612"/>
    <w:rsid w:val="002208EF"/>
    <w:rsid w:val="00222A7E"/>
    <w:rsid w:val="00225DB1"/>
    <w:rsid w:val="0025233E"/>
    <w:rsid w:val="00264A46"/>
    <w:rsid w:val="0028180F"/>
    <w:rsid w:val="00281F74"/>
    <w:rsid w:val="00282F82"/>
    <w:rsid w:val="00285254"/>
    <w:rsid w:val="002913B1"/>
    <w:rsid w:val="00291506"/>
    <w:rsid w:val="002B31B8"/>
    <w:rsid w:val="002D1419"/>
    <w:rsid w:val="002F4DF5"/>
    <w:rsid w:val="002F7940"/>
    <w:rsid w:val="00302F2E"/>
    <w:rsid w:val="00307897"/>
    <w:rsid w:val="0032646E"/>
    <w:rsid w:val="003400FF"/>
    <w:rsid w:val="00345654"/>
    <w:rsid w:val="00362178"/>
    <w:rsid w:val="00365742"/>
    <w:rsid w:val="00371C30"/>
    <w:rsid w:val="00391788"/>
    <w:rsid w:val="003A3743"/>
    <w:rsid w:val="003A485A"/>
    <w:rsid w:val="003B00E4"/>
    <w:rsid w:val="003B44AD"/>
    <w:rsid w:val="003C3B4D"/>
    <w:rsid w:val="003C5263"/>
    <w:rsid w:val="003D1250"/>
    <w:rsid w:val="003D3A33"/>
    <w:rsid w:val="003D6671"/>
    <w:rsid w:val="003E355A"/>
    <w:rsid w:val="003E4D58"/>
    <w:rsid w:val="003F716A"/>
    <w:rsid w:val="003F7394"/>
    <w:rsid w:val="0040010A"/>
    <w:rsid w:val="00404220"/>
    <w:rsid w:val="00415D4A"/>
    <w:rsid w:val="0041650A"/>
    <w:rsid w:val="00420FCF"/>
    <w:rsid w:val="004242CF"/>
    <w:rsid w:val="00424B61"/>
    <w:rsid w:val="004328E2"/>
    <w:rsid w:val="00453A7A"/>
    <w:rsid w:val="00455509"/>
    <w:rsid w:val="00476CCD"/>
    <w:rsid w:val="00480766"/>
    <w:rsid w:val="00480ACB"/>
    <w:rsid w:val="0048299E"/>
    <w:rsid w:val="004C2DB9"/>
    <w:rsid w:val="004C4B0F"/>
    <w:rsid w:val="004E3CF6"/>
    <w:rsid w:val="004F697C"/>
    <w:rsid w:val="004F77E2"/>
    <w:rsid w:val="00501BFE"/>
    <w:rsid w:val="0051071E"/>
    <w:rsid w:val="0051640E"/>
    <w:rsid w:val="00562809"/>
    <w:rsid w:val="00566174"/>
    <w:rsid w:val="00572622"/>
    <w:rsid w:val="005732F1"/>
    <w:rsid w:val="00590834"/>
    <w:rsid w:val="00591DC8"/>
    <w:rsid w:val="005950C5"/>
    <w:rsid w:val="00596841"/>
    <w:rsid w:val="005B6F58"/>
    <w:rsid w:val="005E042B"/>
    <w:rsid w:val="005E64E9"/>
    <w:rsid w:val="005F45C5"/>
    <w:rsid w:val="005F778E"/>
    <w:rsid w:val="00615C0C"/>
    <w:rsid w:val="00617319"/>
    <w:rsid w:val="006213EF"/>
    <w:rsid w:val="00621446"/>
    <w:rsid w:val="00622355"/>
    <w:rsid w:val="00626F56"/>
    <w:rsid w:val="00627FD2"/>
    <w:rsid w:val="00637316"/>
    <w:rsid w:val="0065632E"/>
    <w:rsid w:val="006570CC"/>
    <w:rsid w:val="006A2743"/>
    <w:rsid w:val="006A77E2"/>
    <w:rsid w:val="006B0711"/>
    <w:rsid w:val="006C326B"/>
    <w:rsid w:val="006C3405"/>
    <w:rsid w:val="006D7138"/>
    <w:rsid w:val="006F1A54"/>
    <w:rsid w:val="006F46D9"/>
    <w:rsid w:val="00707878"/>
    <w:rsid w:val="007161EE"/>
    <w:rsid w:val="007323C0"/>
    <w:rsid w:val="00740EED"/>
    <w:rsid w:val="007545E2"/>
    <w:rsid w:val="0076289F"/>
    <w:rsid w:val="007659C8"/>
    <w:rsid w:val="00780C1A"/>
    <w:rsid w:val="00790545"/>
    <w:rsid w:val="00797BC3"/>
    <w:rsid w:val="007A4855"/>
    <w:rsid w:val="007B2326"/>
    <w:rsid w:val="007B71D8"/>
    <w:rsid w:val="007D0E7B"/>
    <w:rsid w:val="007D2D4F"/>
    <w:rsid w:val="007D654A"/>
    <w:rsid w:val="007E0BEC"/>
    <w:rsid w:val="00804B8B"/>
    <w:rsid w:val="00807883"/>
    <w:rsid w:val="008178DA"/>
    <w:rsid w:val="00826793"/>
    <w:rsid w:val="00834980"/>
    <w:rsid w:val="0086310F"/>
    <w:rsid w:val="00893A16"/>
    <w:rsid w:val="00896F24"/>
    <w:rsid w:val="008A3CB2"/>
    <w:rsid w:val="008A7554"/>
    <w:rsid w:val="008B02B6"/>
    <w:rsid w:val="008B5664"/>
    <w:rsid w:val="008B6174"/>
    <w:rsid w:val="008C49BF"/>
    <w:rsid w:val="0090056C"/>
    <w:rsid w:val="00912B3E"/>
    <w:rsid w:val="00917997"/>
    <w:rsid w:val="00924371"/>
    <w:rsid w:val="00941587"/>
    <w:rsid w:val="0094584A"/>
    <w:rsid w:val="009777EF"/>
    <w:rsid w:val="00981D38"/>
    <w:rsid w:val="009855E5"/>
    <w:rsid w:val="00996696"/>
    <w:rsid w:val="009A5F7B"/>
    <w:rsid w:val="009B0724"/>
    <w:rsid w:val="009D324A"/>
    <w:rsid w:val="009D33F1"/>
    <w:rsid w:val="009F45F2"/>
    <w:rsid w:val="00A244A2"/>
    <w:rsid w:val="00A53380"/>
    <w:rsid w:val="00A63EBD"/>
    <w:rsid w:val="00A90AC3"/>
    <w:rsid w:val="00A959D3"/>
    <w:rsid w:val="00AA0547"/>
    <w:rsid w:val="00AA0AFD"/>
    <w:rsid w:val="00AB5379"/>
    <w:rsid w:val="00AC0BD2"/>
    <w:rsid w:val="00AC7B2C"/>
    <w:rsid w:val="00AF359B"/>
    <w:rsid w:val="00AF47BC"/>
    <w:rsid w:val="00B10839"/>
    <w:rsid w:val="00B25A94"/>
    <w:rsid w:val="00B353EA"/>
    <w:rsid w:val="00B37323"/>
    <w:rsid w:val="00B37F8A"/>
    <w:rsid w:val="00B40FB6"/>
    <w:rsid w:val="00B54341"/>
    <w:rsid w:val="00B64C89"/>
    <w:rsid w:val="00B6638C"/>
    <w:rsid w:val="00B7788B"/>
    <w:rsid w:val="00B8224F"/>
    <w:rsid w:val="00BA1A3C"/>
    <w:rsid w:val="00BD5C14"/>
    <w:rsid w:val="00C034F1"/>
    <w:rsid w:val="00C0356B"/>
    <w:rsid w:val="00C1365B"/>
    <w:rsid w:val="00C16EA7"/>
    <w:rsid w:val="00C1735E"/>
    <w:rsid w:val="00C224A5"/>
    <w:rsid w:val="00C33D04"/>
    <w:rsid w:val="00C64BE5"/>
    <w:rsid w:val="00C664C3"/>
    <w:rsid w:val="00C7517D"/>
    <w:rsid w:val="00C85287"/>
    <w:rsid w:val="00C86624"/>
    <w:rsid w:val="00C915F4"/>
    <w:rsid w:val="00C96A96"/>
    <w:rsid w:val="00CB3B7D"/>
    <w:rsid w:val="00CC16E2"/>
    <w:rsid w:val="00CC3A81"/>
    <w:rsid w:val="00CE3CEF"/>
    <w:rsid w:val="00CF4167"/>
    <w:rsid w:val="00CF73F1"/>
    <w:rsid w:val="00D02403"/>
    <w:rsid w:val="00D02642"/>
    <w:rsid w:val="00D072DF"/>
    <w:rsid w:val="00D14F75"/>
    <w:rsid w:val="00D15345"/>
    <w:rsid w:val="00D24A87"/>
    <w:rsid w:val="00D271A3"/>
    <w:rsid w:val="00D37514"/>
    <w:rsid w:val="00D43795"/>
    <w:rsid w:val="00D46B3C"/>
    <w:rsid w:val="00D475A2"/>
    <w:rsid w:val="00D507E1"/>
    <w:rsid w:val="00D57A5D"/>
    <w:rsid w:val="00D70BE2"/>
    <w:rsid w:val="00D72F95"/>
    <w:rsid w:val="00D74FB4"/>
    <w:rsid w:val="00D75659"/>
    <w:rsid w:val="00D8466D"/>
    <w:rsid w:val="00D85C7D"/>
    <w:rsid w:val="00D944BD"/>
    <w:rsid w:val="00DA523A"/>
    <w:rsid w:val="00DB495E"/>
    <w:rsid w:val="00DB567A"/>
    <w:rsid w:val="00DB7F84"/>
    <w:rsid w:val="00DC24F5"/>
    <w:rsid w:val="00DC6196"/>
    <w:rsid w:val="00DC699E"/>
    <w:rsid w:val="00DE17AC"/>
    <w:rsid w:val="00E01CB0"/>
    <w:rsid w:val="00E06126"/>
    <w:rsid w:val="00E240FA"/>
    <w:rsid w:val="00E314F4"/>
    <w:rsid w:val="00E31DE4"/>
    <w:rsid w:val="00E349AC"/>
    <w:rsid w:val="00E42512"/>
    <w:rsid w:val="00E446FA"/>
    <w:rsid w:val="00E500C3"/>
    <w:rsid w:val="00E51550"/>
    <w:rsid w:val="00E52384"/>
    <w:rsid w:val="00E60A14"/>
    <w:rsid w:val="00E707A9"/>
    <w:rsid w:val="00E72FB6"/>
    <w:rsid w:val="00E80B32"/>
    <w:rsid w:val="00EA550E"/>
    <w:rsid w:val="00EB4F9E"/>
    <w:rsid w:val="00EB5EDB"/>
    <w:rsid w:val="00EC44F4"/>
    <w:rsid w:val="00EC77BF"/>
    <w:rsid w:val="00EE3557"/>
    <w:rsid w:val="00EE433D"/>
    <w:rsid w:val="00EF03ED"/>
    <w:rsid w:val="00F16F55"/>
    <w:rsid w:val="00F17B7D"/>
    <w:rsid w:val="00F34585"/>
    <w:rsid w:val="00F42F55"/>
    <w:rsid w:val="00F50351"/>
    <w:rsid w:val="00F70340"/>
    <w:rsid w:val="00F7353B"/>
    <w:rsid w:val="00F90550"/>
    <w:rsid w:val="00F9583D"/>
    <w:rsid w:val="00FA09F4"/>
    <w:rsid w:val="00FA7EE8"/>
    <w:rsid w:val="00FB142D"/>
    <w:rsid w:val="00FD0AF8"/>
    <w:rsid w:val="00FD764E"/>
    <w:rsid w:val="00FD7ECD"/>
    <w:rsid w:val="00FE34EC"/>
    <w:rsid w:val="00FF69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7D1A5E"/>
  <w15:docId w15:val="{F9A998A5-A077-4EEA-BECB-FA0F4A60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17D"/>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rsid w:val="00C7517D"/>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rsid w:val="00C7517D"/>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rsid w:val="00C7517D"/>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rsid w:val="00C7517D"/>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rsid w:val="00C7517D"/>
    <w:pPr>
      <w:spacing w:before="240" w:after="60"/>
      <w:outlineLvl w:val="4"/>
    </w:pPr>
    <w:rPr>
      <w:b/>
      <w:bCs/>
      <w:i/>
      <w:iCs/>
      <w:sz w:val="26"/>
      <w:szCs w:val="26"/>
      <w:lang w:val="en-GB"/>
    </w:rPr>
  </w:style>
  <w:style w:type="paragraph" w:styleId="Heading6">
    <w:name w:val="heading 6"/>
    <w:basedOn w:val="Normal"/>
    <w:next w:val="Normal"/>
    <w:link w:val="Heading6Char"/>
    <w:uiPriority w:val="99"/>
    <w:qFormat/>
    <w:rsid w:val="00C7517D"/>
    <w:pPr>
      <w:spacing w:before="240" w:after="60"/>
      <w:outlineLvl w:val="5"/>
    </w:pPr>
    <w:rPr>
      <w:b/>
      <w:bCs/>
      <w:sz w:val="22"/>
      <w:szCs w:val="22"/>
      <w:lang w:val="en-GB"/>
    </w:rPr>
  </w:style>
  <w:style w:type="paragraph" w:styleId="Heading7">
    <w:name w:val="heading 7"/>
    <w:basedOn w:val="Normal"/>
    <w:next w:val="Normal"/>
    <w:link w:val="Heading7Char"/>
    <w:uiPriority w:val="99"/>
    <w:qFormat/>
    <w:rsid w:val="00C7517D"/>
    <w:pPr>
      <w:spacing w:before="240" w:after="60"/>
      <w:outlineLvl w:val="6"/>
    </w:pPr>
    <w:rPr>
      <w:lang w:val="en-GB"/>
    </w:rPr>
  </w:style>
  <w:style w:type="paragraph" w:styleId="Heading8">
    <w:name w:val="heading 8"/>
    <w:basedOn w:val="Normal"/>
    <w:next w:val="Normal"/>
    <w:link w:val="Heading8Char"/>
    <w:uiPriority w:val="99"/>
    <w:qFormat/>
    <w:rsid w:val="00C7517D"/>
    <w:pPr>
      <w:spacing w:before="240" w:after="60"/>
      <w:outlineLvl w:val="7"/>
    </w:pPr>
    <w:rPr>
      <w:i/>
      <w:iCs/>
      <w:lang w:val="en-GB"/>
    </w:rPr>
  </w:style>
  <w:style w:type="paragraph" w:styleId="Heading9">
    <w:name w:val="heading 9"/>
    <w:basedOn w:val="Normal"/>
    <w:next w:val="Normal"/>
    <w:link w:val="Heading9Char"/>
    <w:uiPriority w:val="99"/>
    <w:qFormat/>
    <w:rsid w:val="00C7517D"/>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7517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sid w:val="00C7517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sid w:val="00C7517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sid w:val="00C7517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sid w:val="00C7517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sid w:val="00C7517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sid w:val="00C7517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sid w:val="00C7517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uiPriority w:val="99"/>
    <w:rsid w:val="00C7517D"/>
    <w:pPr>
      <w:ind w:left="227" w:hanging="227"/>
    </w:pPr>
  </w:style>
  <w:style w:type="paragraph" w:styleId="Header">
    <w:name w:val="header"/>
    <w:basedOn w:val="Normal"/>
    <w:link w:val="HeaderChar"/>
    <w:uiPriority w:val="99"/>
    <w:rsid w:val="00C7517D"/>
    <w:pPr>
      <w:tabs>
        <w:tab w:val="center" w:pos="4153"/>
        <w:tab w:val="right" w:pos="8306"/>
      </w:tabs>
    </w:pPr>
  </w:style>
  <w:style w:type="character" w:customStyle="1" w:styleId="HeaderChar">
    <w:name w:val="Header Char"/>
    <w:basedOn w:val="DefaultParagraphFont"/>
    <w:link w:val="Header"/>
    <w:uiPriority w:val="99"/>
    <w:semiHidden/>
    <w:locked/>
    <w:rsid w:val="00C7517D"/>
    <w:rPr>
      <w:rFonts w:ascii="Times" w:hAnsi="Times" w:cs="Times"/>
      <w:sz w:val="24"/>
      <w:szCs w:val="24"/>
      <w:lang w:val="nl-NL" w:eastAsia="en-US"/>
    </w:rPr>
  </w:style>
  <w:style w:type="paragraph" w:styleId="Footer">
    <w:name w:val="footer"/>
    <w:basedOn w:val="Normal"/>
    <w:link w:val="FooterChar"/>
    <w:uiPriority w:val="99"/>
    <w:rsid w:val="00C7517D"/>
    <w:pPr>
      <w:tabs>
        <w:tab w:val="center" w:pos="4153"/>
        <w:tab w:val="right" w:pos="8306"/>
      </w:tabs>
    </w:pPr>
  </w:style>
  <w:style w:type="character" w:customStyle="1" w:styleId="FooterChar">
    <w:name w:val="Footer Char"/>
    <w:basedOn w:val="DefaultParagraphFont"/>
    <w:link w:val="Footer"/>
    <w:uiPriority w:val="99"/>
    <w:semiHidden/>
    <w:locked/>
    <w:rsid w:val="00C7517D"/>
    <w:rPr>
      <w:rFonts w:ascii="Times" w:hAnsi="Times" w:cs="Times"/>
      <w:sz w:val="24"/>
      <w:szCs w:val="24"/>
      <w:lang w:val="nl-NL" w:eastAsia="en-US"/>
    </w:rPr>
  </w:style>
  <w:style w:type="paragraph" w:styleId="Caption">
    <w:name w:val="caption"/>
    <w:basedOn w:val="Normal"/>
    <w:next w:val="Normal"/>
    <w:uiPriority w:val="99"/>
    <w:qFormat/>
    <w:rsid w:val="00C7517D"/>
    <w:pPr>
      <w:spacing w:before="120" w:after="120"/>
    </w:pPr>
    <w:rPr>
      <w:b/>
      <w:bCs/>
    </w:rPr>
  </w:style>
  <w:style w:type="character" w:customStyle="1" w:styleId="Bodybold">
    <w:name w:val="Body bold"/>
    <w:basedOn w:val="DefaultParagraphFont"/>
    <w:uiPriority w:val="99"/>
    <w:rsid w:val="00C7517D"/>
    <w:rPr>
      <w:rFonts w:ascii="Arial" w:hAnsi="Arial" w:cs="Arial"/>
      <w:b/>
      <w:bCs/>
      <w:sz w:val="20"/>
      <w:szCs w:val="20"/>
    </w:rPr>
  </w:style>
  <w:style w:type="paragraph" w:customStyle="1" w:styleId="Titel">
    <w:name w:val="Titel"/>
    <w:basedOn w:val="HeadReynaers"/>
    <w:uiPriority w:val="99"/>
    <w:rsid w:val="00C7517D"/>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paragraph" w:styleId="EndnoteText">
    <w:name w:val="endnote text"/>
    <w:basedOn w:val="Normal"/>
    <w:link w:val="EndnoteTextChar"/>
    <w:uiPriority w:val="99"/>
    <w:rsid w:val="00E240FA"/>
    <w:rPr>
      <w:sz w:val="20"/>
      <w:szCs w:val="20"/>
    </w:rPr>
  </w:style>
  <w:style w:type="character" w:customStyle="1" w:styleId="EndnoteTextChar">
    <w:name w:val="Endnote Text Char"/>
    <w:basedOn w:val="DefaultParagraphFont"/>
    <w:link w:val="EndnoteText"/>
    <w:uiPriority w:val="99"/>
    <w:rsid w:val="00E240FA"/>
    <w:rPr>
      <w:rFonts w:ascii="Times" w:hAnsi="Times" w:cs="Times"/>
      <w:lang w:val="nl-NL" w:eastAsia="en-US"/>
    </w:rPr>
  </w:style>
  <w:style w:type="character" w:styleId="EndnoteReference">
    <w:name w:val="endnote reference"/>
    <w:basedOn w:val="DefaultParagraphFont"/>
    <w:uiPriority w:val="99"/>
    <w:rsid w:val="00E240FA"/>
    <w:rPr>
      <w:vertAlign w:val="superscript"/>
    </w:rPr>
  </w:style>
  <w:style w:type="paragraph" w:styleId="BodyText">
    <w:name w:val="Body Text"/>
    <w:basedOn w:val="Normal"/>
    <w:link w:val="BodyTextChar"/>
    <w:uiPriority w:val="99"/>
    <w:rsid w:val="00D475A2"/>
    <w:rPr>
      <w:rFonts w:ascii="Arial" w:hAnsi="Arial" w:cs="Arial"/>
      <w:color w:val="0000FF"/>
      <w:sz w:val="20"/>
      <w:szCs w:val="20"/>
    </w:rPr>
  </w:style>
  <w:style w:type="character" w:customStyle="1" w:styleId="BodyTextChar">
    <w:name w:val="Body Text Char"/>
    <w:basedOn w:val="DefaultParagraphFont"/>
    <w:link w:val="BodyText"/>
    <w:uiPriority w:val="99"/>
    <w:rsid w:val="00D475A2"/>
    <w:rPr>
      <w:rFonts w:ascii="Arial" w:hAnsi="Arial" w:cs="Arial"/>
      <w:color w:val="0000FF"/>
      <w:lang w:val="nl-NL" w:eastAsia="en-US"/>
    </w:rPr>
  </w:style>
  <w:style w:type="table" w:styleId="TableGrid">
    <w:name w:val="Table Grid"/>
    <w:basedOn w:val="TableNormal"/>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1.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B24FE-AC40-4EBB-8701-E0B5EBD0D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1670</Words>
  <Characters>10268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Laura Verhoeven</cp:lastModifiedBy>
  <cp:revision>7</cp:revision>
  <cp:lastPrinted>2024-02-05T13:27:00Z</cp:lastPrinted>
  <dcterms:created xsi:type="dcterms:W3CDTF">2024-04-23T07:56:00Z</dcterms:created>
  <dcterms:modified xsi:type="dcterms:W3CDTF">2024-05-21T08:37:00Z</dcterms:modified>
</cp:coreProperties>
</file>